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17AD1C7E"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w:t>
      </w:r>
      <w:r w:rsidR="00FD38C1">
        <w:rPr>
          <w:rFonts w:eastAsiaTheme="minorHAnsi" w:cs="Arial"/>
          <w:b/>
          <w:bCs/>
          <w:sz w:val="24"/>
          <w:szCs w:val="24"/>
          <w:lang w:val="en-US"/>
        </w:rPr>
        <w:t>2</w:t>
      </w:r>
      <w:r w:rsidRPr="00CA65F5">
        <w:rPr>
          <w:rFonts w:eastAsiaTheme="minorHAnsi" w:cs="Arial"/>
          <w:b/>
          <w:bCs/>
          <w:sz w:val="24"/>
          <w:szCs w:val="24"/>
          <w:lang w:val="en-US"/>
        </w:rPr>
        <w:t xml:space="preserve"> #</w:t>
      </w:r>
      <w:r w:rsidR="00375359" w:rsidRPr="00CA65F5">
        <w:rPr>
          <w:rFonts w:eastAsiaTheme="minorHAnsi" w:cs="Arial"/>
          <w:b/>
          <w:bCs/>
          <w:sz w:val="24"/>
          <w:szCs w:val="24"/>
          <w:lang w:val="en-US"/>
        </w:rPr>
        <w:t>1</w:t>
      </w:r>
      <w:r w:rsidR="00FD38C1">
        <w:rPr>
          <w:rFonts w:eastAsiaTheme="minorHAnsi" w:cs="Arial"/>
          <w:b/>
          <w:bCs/>
          <w:sz w:val="24"/>
          <w:szCs w:val="24"/>
          <w:lang w:val="en-US"/>
        </w:rPr>
        <w:t>1</w:t>
      </w:r>
      <w:r w:rsidR="000D40DC">
        <w:rPr>
          <w:rFonts w:eastAsiaTheme="minorHAnsi" w:cs="Arial"/>
          <w:b/>
          <w:bCs/>
          <w:sz w:val="24"/>
          <w:szCs w:val="24"/>
          <w:lang w:val="en-US"/>
        </w:rPr>
        <w:t>6</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C52630">
        <w:rPr>
          <w:rFonts w:eastAsiaTheme="minorHAnsi" w:cs="Arial"/>
          <w:b/>
          <w:bCs/>
          <w:sz w:val="24"/>
          <w:szCs w:val="24"/>
          <w:lang w:val="en-US"/>
        </w:rPr>
        <w:t xml:space="preserve">     </w:t>
      </w:r>
      <w:r w:rsidR="004371FB" w:rsidRPr="00CA65F5">
        <w:rPr>
          <w:rFonts w:eastAsiaTheme="minorHAnsi" w:cs="Arial"/>
          <w:b/>
          <w:bCs/>
          <w:sz w:val="24"/>
          <w:szCs w:val="24"/>
          <w:lang w:val="en-US"/>
        </w:rPr>
        <w:t>R</w:t>
      </w:r>
      <w:r w:rsidR="00FD38C1">
        <w:rPr>
          <w:rFonts w:eastAsiaTheme="minorHAnsi" w:cs="Arial"/>
          <w:b/>
          <w:bCs/>
          <w:sz w:val="24"/>
          <w:szCs w:val="24"/>
          <w:lang w:val="en-US"/>
        </w:rPr>
        <w:t>2</w:t>
      </w:r>
      <w:r w:rsidR="004371FB" w:rsidRPr="00CA65F5">
        <w:rPr>
          <w:rFonts w:eastAsiaTheme="minorHAnsi" w:cs="Arial"/>
          <w:b/>
          <w:bCs/>
          <w:sz w:val="24"/>
          <w:szCs w:val="24"/>
          <w:lang w:val="en-US"/>
        </w:rPr>
        <w:t>-</w:t>
      </w:r>
      <w:r w:rsidR="00E418BE">
        <w:rPr>
          <w:rFonts w:eastAsiaTheme="minorHAnsi" w:cs="Arial"/>
          <w:b/>
          <w:bCs/>
          <w:sz w:val="24"/>
          <w:szCs w:val="24"/>
          <w:lang w:val="en-US"/>
        </w:rPr>
        <w:t>2</w:t>
      </w:r>
      <w:r w:rsidR="00FD38C1">
        <w:rPr>
          <w:rFonts w:eastAsiaTheme="minorHAnsi" w:cs="Arial"/>
          <w:b/>
          <w:bCs/>
          <w:sz w:val="24"/>
          <w:szCs w:val="24"/>
          <w:lang w:val="en-US"/>
        </w:rPr>
        <w:t>1</w:t>
      </w:r>
      <w:r w:rsidR="00B440C9">
        <w:rPr>
          <w:rFonts w:eastAsiaTheme="minorHAnsi" w:cs="Arial"/>
          <w:b/>
          <w:bCs/>
          <w:sz w:val="24"/>
          <w:szCs w:val="24"/>
          <w:lang w:val="en-US"/>
        </w:rPr>
        <w:t>10549</w:t>
      </w:r>
    </w:p>
    <w:p w14:paraId="0EEE9A19" w14:textId="63A9FE32" w:rsidR="00E418BE" w:rsidRDefault="000F3707" w:rsidP="00E418BE">
      <w:pPr>
        <w:pStyle w:val="CRCoverPage"/>
        <w:tabs>
          <w:tab w:val="left" w:pos="1980"/>
        </w:tabs>
        <w:spacing w:after="0"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00E418BE" w:rsidRPr="004A68B6">
        <w:rPr>
          <w:rFonts w:eastAsiaTheme="minorEastAsia" w:cs="Arial"/>
          <w:b/>
          <w:bCs/>
          <w:sz w:val="24"/>
          <w:szCs w:val="24"/>
          <w:lang w:val="en-US" w:eastAsia="ko-KR"/>
        </w:rPr>
        <w:t xml:space="preserve">, </w:t>
      </w:r>
      <w:r w:rsidR="008E728B" w:rsidRPr="008E728B">
        <w:rPr>
          <w:b/>
          <w:bCs/>
          <w:sz w:val="24"/>
          <w:szCs w:val="24"/>
          <w:lang w:eastAsia="ja-JP"/>
        </w:rPr>
        <w:t>1</w:t>
      </w:r>
      <w:r w:rsidR="00FD38C1" w:rsidRPr="00FD38C1">
        <w:rPr>
          <w:b/>
          <w:bCs/>
          <w:sz w:val="24"/>
          <w:szCs w:val="24"/>
          <w:vertAlign w:val="superscript"/>
          <w:lang w:eastAsia="ja-JP"/>
        </w:rPr>
        <w:t>st</w:t>
      </w:r>
      <w:r w:rsidR="00FD38C1">
        <w:rPr>
          <w:b/>
          <w:bCs/>
          <w:sz w:val="24"/>
          <w:szCs w:val="24"/>
          <w:lang w:eastAsia="ja-JP"/>
        </w:rPr>
        <w:t xml:space="preserve"> </w:t>
      </w:r>
      <w:r w:rsidR="0007228A">
        <w:rPr>
          <w:b/>
          <w:bCs/>
          <w:sz w:val="24"/>
          <w:szCs w:val="24"/>
          <w:lang w:eastAsia="ja-JP"/>
        </w:rPr>
        <w:t>– 12</w:t>
      </w:r>
      <w:r w:rsidR="0007228A" w:rsidRPr="0007228A">
        <w:rPr>
          <w:b/>
          <w:bCs/>
          <w:sz w:val="24"/>
          <w:szCs w:val="24"/>
          <w:vertAlign w:val="superscript"/>
          <w:lang w:eastAsia="ja-JP"/>
        </w:rPr>
        <w:t>th</w:t>
      </w:r>
      <w:r w:rsidR="0007228A">
        <w:rPr>
          <w:b/>
          <w:bCs/>
          <w:sz w:val="24"/>
          <w:szCs w:val="24"/>
          <w:lang w:eastAsia="ja-JP"/>
        </w:rPr>
        <w:t xml:space="preserve"> </w:t>
      </w:r>
      <w:proofErr w:type="gramStart"/>
      <w:r w:rsidR="00FD38C1">
        <w:rPr>
          <w:b/>
          <w:bCs/>
          <w:sz w:val="24"/>
          <w:szCs w:val="24"/>
          <w:lang w:eastAsia="ja-JP"/>
        </w:rPr>
        <w:t>November</w:t>
      </w:r>
      <w:r w:rsidR="00E418BE">
        <w:rPr>
          <w:rFonts w:eastAsiaTheme="minorEastAsia" w:cs="Arial"/>
          <w:b/>
          <w:bCs/>
          <w:sz w:val="24"/>
          <w:szCs w:val="24"/>
          <w:lang w:val="en-US" w:eastAsia="ko-KR"/>
        </w:rPr>
        <w:t>,</w:t>
      </w:r>
      <w:proofErr w:type="gramEnd"/>
      <w:r w:rsidR="00E418BE">
        <w:rPr>
          <w:rFonts w:eastAsiaTheme="minorEastAsia" w:cs="Arial"/>
          <w:b/>
          <w:bCs/>
          <w:sz w:val="24"/>
          <w:szCs w:val="24"/>
          <w:lang w:val="en-US" w:eastAsia="ko-KR"/>
        </w:rPr>
        <w:t xml:space="preserve"> </w:t>
      </w:r>
      <w:r w:rsidR="00E418BE" w:rsidRPr="004A68B6">
        <w:rPr>
          <w:rFonts w:eastAsiaTheme="minorEastAsia" w:cs="Arial"/>
          <w:b/>
          <w:bCs/>
          <w:sz w:val="24"/>
          <w:szCs w:val="24"/>
          <w:lang w:val="en-US" w:eastAsia="ko-KR"/>
        </w:rPr>
        <w:t>2021</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24A9BB6B"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E57373">
        <w:rPr>
          <w:rFonts w:cs="Arial"/>
          <w:b/>
          <w:bCs/>
          <w:sz w:val="24"/>
          <w:szCs w:val="24"/>
          <w:lang w:val="en-US"/>
        </w:rPr>
        <w:t>9.2.</w:t>
      </w:r>
      <w:r w:rsidR="008A3402">
        <w:rPr>
          <w:rFonts w:cs="Arial"/>
          <w:b/>
          <w:bCs/>
          <w:sz w:val="24"/>
          <w:szCs w:val="24"/>
          <w:lang w:val="en-US"/>
        </w:rPr>
        <w:t>2</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01C99D1E" w:rsidR="00FA20F7" w:rsidRPr="00CA65F5" w:rsidRDefault="00FA20F7" w:rsidP="00690F53">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57373">
        <w:rPr>
          <w:rFonts w:ascii="Arial" w:hAnsi="Arial" w:cs="Arial"/>
          <w:b/>
          <w:bCs/>
          <w:sz w:val="24"/>
          <w:szCs w:val="24"/>
        </w:rPr>
        <w:t>Support of Discontinuous Coverage for IoT-NTN</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6EB0C2BD" w14:textId="1B18C47B" w:rsidR="000F3707" w:rsidRDefault="000F3707" w:rsidP="00804B17">
      <w:pPr>
        <w:pStyle w:val="Heading1"/>
        <w:numPr>
          <w:ilvl w:val="0"/>
          <w:numId w:val="30"/>
        </w:numPr>
        <w:pBdr>
          <w:top w:val="single" w:sz="12" w:space="5" w:color="auto"/>
        </w:pBdr>
        <w:tabs>
          <w:tab w:val="clear" w:pos="720"/>
          <w:tab w:val="left" w:pos="426"/>
        </w:tabs>
        <w:ind w:hanging="720"/>
        <w:rPr>
          <w:rFonts w:cs="Arial"/>
        </w:rPr>
      </w:pPr>
      <w:r>
        <w:rPr>
          <w:rFonts w:cs="Arial"/>
        </w:rPr>
        <w:t>Introduction</w:t>
      </w:r>
    </w:p>
    <w:p w14:paraId="112C16C8" w14:textId="4103391C" w:rsidR="00830487" w:rsidRDefault="00830487" w:rsidP="00830487">
      <w:pPr>
        <w:pStyle w:val="Doc-text2"/>
        <w:ind w:left="0" w:firstLine="0"/>
      </w:pPr>
      <w:r>
        <w:t xml:space="preserve">In RAN2#115-e the following agreements were made: </w:t>
      </w:r>
    </w:p>
    <w:p w14:paraId="33B2C489" w14:textId="77777777" w:rsidR="00830487" w:rsidRPr="00830487" w:rsidRDefault="00830487" w:rsidP="00830487">
      <w:pPr>
        <w:pStyle w:val="Doc-text2"/>
        <w:ind w:left="0" w:firstLine="0"/>
      </w:pPr>
    </w:p>
    <w:tbl>
      <w:tblPr>
        <w:tblStyle w:val="TableGrid"/>
        <w:tblW w:w="0" w:type="auto"/>
        <w:tblLook w:val="04A0" w:firstRow="1" w:lastRow="0" w:firstColumn="1" w:lastColumn="0" w:noHBand="0" w:noVBand="1"/>
      </w:tblPr>
      <w:tblGrid>
        <w:gridCol w:w="9629"/>
      </w:tblGrid>
      <w:tr w:rsidR="006507E4" w14:paraId="7D260C8F" w14:textId="77777777" w:rsidTr="006507E4">
        <w:tc>
          <w:tcPr>
            <w:tcW w:w="9629" w:type="dxa"/>
          </w:tcPr>
          <w:p w14:paraId="00A5EBE7" w14:textId="54BE719A" w:rsidR="006507E4" w:rsidRPr="009277F4" w:rsidRDefault="006507E4" w:rsidP="006507E4">
            <w:pPr>
              <w:rPr>
                <w:b/>
                <w:iCs/>
              </w:rPr>
            </w:pPr>
            <w:r w:rsidRPr="009277F4">
              <w:rPr>
                <w:b/>
                <w:iCs/>
              </w:rPr>
              <w:t>Agreements:</w:t>
            </w:r>
          </w:p>
          <w:p w14:paraId="7857A30E" w14:textId="77777777" w:rsidR="006507E4" w:rsidRPr="009277F4" w:rsidRDefault="006507E4" w:rsidP="009277F4">
            <w:pPr>
              <w:ind w:left="454" w:hanging="454"/>
              <w:rPr>
                <w:bCs/>
                <w:iCs/>
              </w:rPr>
            </w:pPr>
            <w:r w:rsidRPr="009277F4">
              <w:rPr>
                <w:bCs/>
                <w:iCs/>
              </w:rPr>
              <w:t>•</w:t>
            </w:r>
            <w:r w:rsidRPr="009277F4">
              <w:rPr>
                <w:bCs/>
                <w:iCs/>
              </w:rPr>
              <w:tab/>
              <w:t xml:space="preserve">RAN2 confirms that the following will be supported: discontinuous coverage without excessive UE power consumption and without excessive failures / recovery actions. It is expected that this need to be </w:t>
            </w:r>
            <w:proofErr w:type="gramStart"/>
            <w:r w:rsidRPr="009277F4">
              <w:rPr>
                <w:bCs/>
                <w:iCs/>
              </w:rPr>
              <w:t>taken into account</w:t>
            </w:r>
            <w:proofErr w:type="gramEnd"/>
            <w:r w:rsidRPr="009277F4">
              <w:rPr>
                <w:bCs/>
                <w:iCs/>
              </w:rPr>
              <w:t xml:space="preserve"> at least for Idle mode. The requirement is applicable for all reference scenarios (GEO, MEO and LEO).</w:t>
            </w:r>
          </w:p>
          <w:p w14:paraId="55173B62" w14:textId="77777777" w:rsidR="006507E4" w:rsidRPr="009277F4" w:rsidRDefault="006507E4" w:rsidP="009277F4">
            <w:pPr>
              <w:ind w:left="454" w:hanging="454"/>
              <w:rPr>
                <w:bCs/>
                <w:iCs/>
              </w:rPr>
            </w:pPr>
            <w:r w:rsidRPr="009277F4">
              <w:rPr>
                <w:bCs/>
                <w:iCs/>
              </w:rPr>
              <w:t>•</w:t>
            </w:r>
            <w:r w:rsidRPr="009277F4">
              <w:rPr>
                <w:bCs/>
                <w:iCs/>
              </w:rPr>
              <w:tab/>
            </w:r>
            <w:proofErr w:type="spellStart"/>
            <w:r w:rsidRPr="009277F4">
              <w:rPr>
                <w:bCs/>
                <w:iCs/>
              </w:rPr>
              <w:t>Sattelite</w:t>
            </w:r>
            <w:proofErr w:type="spellEnd"/>
            <w:r w:rsidRPr="009277F4">
              <w:rPr>
                <w:bCs/>
                <w:iCs/>
              </w:rPr>
              <w:t xml:space="preserve"> assistance information will be used by the UE for predicting coverage discontinuity. The details of the assistance information </w:t>
            </w:r>
            <w:proofErr w:type="gramStart"/>
            <w:r w:rsidRPr="009277F4">
              <w:rPr>
                <w:bCs/>
                <w:iCs/>
              </w:rPr>
              <w:t>is</w:t>
            </w:r>
            <w:proofErr w:type="gramEnd"/>
            <w:r w:rsidRPr="009277F4">
              <w:rPr>
                <w:bCs/>
                <w:iCs/>
              </w:rPr>
              <w:t xml:space="preserve"> FFS. FFS whether any applicable agreements made in NR-NTN can be reused.</w:t>
            </w:r>
          </w:p>
          <w:p w14:paraId="774E082C" w14:textId="77777777" w:rsidR="006507E4" w:rsidRPr="009277F4" w:rsidRDefault="006507E4" w:rsidP="009277F4">
            <w:pPr>
              <w:ind w:left="454" w:hanging="454"/>
              <w:rPr>
                <w:bCs/>
                <w:iCs/>
              </w:rPr>
            </w:pPr>
            <w:r w:rsidRPr="009277F4">
              <w:rPr>
                <w:bCs/>
                <w:iCs/>
              </w:rPr>
              <w:t>•</w:t>
            </w:r>
            <w:r w:rsidRPr="009277F4">
              <w:rPr>
                <w:bCs/>
                <w:iCs/>
              </w:rPr>
              <w:tab/>
              <w:t xml:space="preserve">The details of UEs actions when predicted to be out of coverage is FFS, </w:t>
            </w:r>
            <w:proofErr w:type="gramStart"/>
            <w:r w:rsidRPr="009277F4">
              <w:rPr>
                <w:bCs/>
                <w:iCs/>
              </w:rPr>
              <w:t>e.g.</w:t>
            </w:r>
            <w:proofErr w:type="gramEnd"/>
            <w:r w:rsidRPr="009277F4">
              <w:rPr>
                <w:bCs/>
                <w:iCs/>
              </w:rPr>
              <w:t xml:space="preserve"> stopping unnecessary cell search in the Idle mode, and FFS to what extent this need to be specified. </w:t>
            </w:r>
          </w:p>
          <w:p w14:paraId="079C7D91" w14:textId="77777777" w:rsidR="006507E4" w:rsidRPr="009277F4" w:rsidRDefault="006507E4" w:rsidP="009277F4">
            <w:pPr>
              <w:ind w:left="454" w:hanging="454"/>
              <w:rPr>
                <w:bCs/>
                <w:iCs/>
              </w:rPr>
            </w:pPr>
            <w:r w:rsidRPr="009277F4">
              <w:rPr>
                <w:bCs/>
                <w:iCs/>
              </w:rPr>
              <w:t>•</w:t>
            </w:r>
            <w:r w:rsidRPr="009277F4">
              <w:rPr>
                <w:bCs/>
                <w:iCs/>
              </w:rPr>
              <w:tab/>
              <w:t xml:space="preserve">It is FFS to what extent it </w:t>
            </w:r>
            <w:proofErr w:type="gramStart"/>
            <w:r w:rsidRPr="009277F4">
              <w:rPr>
                <w:bCs/>
                <w:iCs/>
              </w:rPr>
              <w:t>need</w:t>
            </w:r>
            <w:proofErr w:type="gramEnd"/>
            <w:r w:rsidRPr="009277F4">
              <w:rPr>
                <w:bCs/>
                <w:iCs/>
              </w:rPr>
              <w:t xml:space="preserve"> to be specified the details of UE’s prediction of discontinuous coverage and its ability to detect when it is back in coverage.</w:t>
            </w:r>
          </w:p>
          <w:p w14:paraId="161D4D2A" w14:textId="1989E7A3" w:rsidR="006507E4" w:rsidRDefault="006507E4" w:rsidP="009277F4">
            <w:pPr>
              <w:ind w:left="454" w:hanging="454"/>
              <w:rPr>
                <w:b/>
                <w:iCs/>
                <w:sz w:val="24"/>
                <w:szCs w:val="24"/>
              </w:rPr>
            </w:pPr>
            <w:r w:rsidRPr="009277F4">
              <w:rPr>
                <w:bCs/>
                <w:iCs/>
              </w:rPr>
              <w:t>•</w:t>
            </w:r>
            <w:r w:rsidRPr="009277F4">
              <w:rPr>
                <w:bCs/>
                <w:iCs/>
              </w:rPr>
              <w:tab/>
              <w:t>RAN2 sends an LS to SA2 and CT1 (cc: RAN3) for the possible alignment work in their specification due to the support of discontinuous coverage.</w:t>
            </w:r>
          </w:p>
        </w:tc>
      </w:tr>
    </w:tbl>
    <w:p w14:paraId="168088F5" w14:textId="6C2A7BAE" w:rsidR="00874F81" w:rsidRDefault="00874F81" w:rsidP="007945A7">
      <w:pPr>
        <w:jc w:val="both"/>
      </w:pPr>
    </w:p>
    <w:p w14:paraId="3C48F765" w14:textId="5647A16D" w:rsidR="00830487" w:rsidRPr="009826BA" w:rsidRDefault="00830487" w:rsidP="007945A7">
      <w:pPr>
        <w:jc w:val="both"/>
      </w:pPr>
      <w:r>
        <w:t>In this contribution we discuss what may be needed to support discontinuous coverage for IoT-NTN.</w:t>
      </w:r>
    </w:p>
    <w:p w14:paraId="22339CAB" w14:textId="59B491A9" w:rsidR="009445CE" w:rsidRDefault="000F3707" w:rsidP="00804B17">
      <w:pPr>
        <w:pStyle w:val="Heading1"/>
        <w:numPr>
          <w:ilvl w:val="0"/>
          <w:numId w:val="30"/>
        </w:numPr>
        <w:pBdr>
          <w:top w:val="single" w:sz="12" w:space="5" w:color="auto"/>
        </w:pBdr>
        <w:tabs>
          <w:tab w:val="clear" w:pos="720"/>
          <w:tab w:val="left" w:pos="426"/>
        </w:tabs>
        <w:ind w:hanging="720"/>
        <w:rPr>
          <w:rFonts w:cs="Arial"/>
        </w:rPr>
      </w:pPr>
      <w:r>
        <w:rPr>
          <w:rFonts w:cs="Arial"/>
        </w:rPr>
        <w:t>Discussion</w:t>
      </w:r>
    </w:p>
    <w:p w14:paraId="199474BE" w14:textId="7E394B28" w:rsidR="00187B81" w:rsidRDefault="00BC3B93">
      <w:r w:rsidRPr="00BC3B93">
        <w:t>An NTN satellite can support multiple cells, where each cell consists of one or more satellite beams. Satellite beams cover a footprint on earth (like a terrestrial cell) and can range in diameter from 100 – 1000 km in LEO deployments, and 200 – 3500 km diameter in GEO deployments. Beam footprints in GEO deployments remain fixed relative to earth, and in LEO deployments the area covered by a beam/cell changes over time due to satellite movement. This beam movement can be classified as “earth moving” where the LEO beam moves continuously across the earth, or “</w:t>
      </w:r>
      <w:r w:rsidR="00833C6C">
        <w:t>quasi-</w:t>
      </w:r>
      <w:r w:rsidRPr="00BC3B93">
        <w:t>earth fixed” where the beam is steered to remain covering a fixed location until a new cell overtakes the coverage area in a discrete and coordinated change.</w:t>
      </w:r>
    </w:p>
    <w:p w14:paraId="0BBC34B0" w14:textId="4E3DE881" w:rsidR="00BC3B93" w:rsidRDefault="00BC3B93"/>
    <w:p w14:paraId="380D68EB" w14:textId="60CEE9A8" w:rsidR="00BC3B93" w:rsidRDefault="00BE3050">
      <w:r>
        <w:t>C</w:t>
      </w:r>
      <w:r w:rsidRPr="00BC3B93">
        <w:t xml:space="preserve">onsidering </w:t>
      </w:r>
      <w:r w:rsidR="00BC3B93" w:rsidRPr="00BC3B93">
        <w:t>satellites move with very high velocity, a satellite footprint may only provide coverage to an area for a short time. To provide continuous coverage, many satellites must follow the same orbit to ensure continuous coverage. Considering many orbits are necessary to provide global coverage, a typical LEO satellite constellation would require on the order of several thousand satellites to provide continuous global coverage. In early NTN deployments, especially in deeply rural locations (</w:t>
      </w:r>
      <w:proofErr w:type="gramStart"/>
      <w:r w:rsidR="00BC3B93" w:rsidRPr="00BC3B93">
        <w:t>e.g.</w:t>
      </w:r>
      <w:proofErr w:type="gramEnd"/>
      <w:r w:rsidR="00BC3B93" w:rsidRPr="00BC3B93">
        <w:t xml:space="preserve"> high arctic or ocean), it is expected that there will be coverage gaps due to the lack of satellites within an orbit.</w:t>
      </w:r>
      <w:r w:rsidR="00BC3B93">
        <w:t xml:space="preserve"> This is illustrated below in Figure 1.</w:t>
      </w:r>
    </w:p>
    <w:p w14:paraId="416059F6" w14:textId="4D1E5A9A" w:rsidR="00BC3B93" w:rsidRDefault="00BC3B93">
      <w:pPr>
        <w:rPr>
          <w:rFonts w:ascii="Arial" w:eastAsia="SimSun" w:hAnsi="Arial" w:cs="Arial"/>
          <w:sz w:val="32"/>
          <w:szCs w:val="32"/>
          <w:lang w:eastAsia="zh-CN"/>
        </w:rPr>
      </w:pPr>
    </w:p>
    <w:p w14:paraId="20869585" w14:textId="3D6AE1AA" w:rsidR="00BC3B93" w:rsidRDefault="00BC3B93" w:rsidP="00BC3B93">
      <w:pPr>
        <w:jc w:val="center"/>
        <w:rPr>
          <w:rFonts w:ascii="Arial" w:eastAsia="SimSun" w:hAnsi="Arial" w:cs="Arial"/>
          <w:sz w:val="32"/>
          <w:szCs w:val="32"/>
          <w:lang w:eastAsia="zh-CN"/>
        </w:rPr>
      </w:pPr>
      <w:r>
        <w:rPr>
          <w:noProof/>
        </w:rPr>
        <w:drawing>
          <wp:inline distT="0" distB="0" distL="0" distR="0" wp14:anchorId="63C7BBAB" wp14:editId="0427BD22">
            <wp:extent cx="4628926" cy="1420328"/>
            <wp:effectExtent l="0" t="0" r="635" b="8890"/>
            <wp:docPr id="9" name="Picture 9" descr="A picture containing text, scale,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scale, device&#10;&#10;Description automatically generated"/>
                    <pic:cNvPicPr/>
                  </pic:nvPicPr>
                  <pic:blipFill>
                    <a:blip r:embed="rId11"/>
                    <a:stretch>
                      <a:fillRect/>
                    </a:stretch>
                  </pic:blipFill>
                  <pic:spPr>
                    <a:xfrm>
                      <a:off x="0" y="0"/>
                      <a:ext cx="4714902" cy="1446709"/>
                    </a:xfrm>
                    <a:prstGeom prst="rect">
                      <a:avLst/>
                    </a:prstGeom>
                  </pic:spPr>
                </pic:pic>
              </a:graphicData>
            </a:graphic>
          </wp:inline>
        </w:drawing>
      </w:r>
    </w:p>
    <w:p w14:paraId="486004E8" w14:textId="29A33FB7" w:rsidR="00BC3B93" w:rsidRDefault="00BC3B93" w:rsidP="00BC3B93">
      <w:pPr>
        <w:jc w:val="center"/>
      </w:pPr>
      <w:r>
        <w:t xml:space="preserve">Figure 1: </w:t>
      </w:r>
      <w:r w:rsidRPr="00BC3B93">
        <w:t xml:space="preserve">UE within an NTN network with </w:t>
      </w:r>
      <w:r>
        <w:t>dis</w:t>
      </w:r>
      <w:r w:rsidRPr="00BC3B93">
        <w:t>continuous coverage.</w:t>
      </w:r>
    </w:p>
    <w:p w14:paraId="14165A8B" w14:textId="0CDD05FD" w:rsidR="00804B17" w:rsidRDefault="00804B17" w:rsidP="00804B17">
      <w:pPr>
        <w:pStyle w:val="Heading2"/>
      </w:pPr>
      <w:r>
        <w:lastRenderedPageBreak/>
        <w:t>2.1</w:t>
      </w:r>
      <w:r>
        <w:tab/>
        <w:t>Coverage gap detection</w:t>
      </w:r>
    </w:p>
    <w:p w14:paraId="0ED04D45" w14:textId="77777777" w:rsidR="00804B17" w:rsidRPr="00804B17" w:rsidRDefault="00804B17" w:rsidP="00804B17">
      <w:pPr>
        <w:pStyle w:val="Doc-title"/>
      </w:pPr>
    </w:p>
    <w:p w14:paraId="76D02891" w14:textId="2C2EA255" w:rsidR="00C90EF9" w:rsidRDefault="00C90EF9" w:rsidP="00C90EF9">
      <w:r>
        <w:t xml:space="preserve">For the </w:t>
      </w:r>
      <w:r w:rsidR="007D6A60">
        <w:t>earth-fixed scenario, the change of satellite coverage (</w:t>
      </w:r>
      <w:proofErr w:type="gramStart"/>
      <w:r w:rsidR="007D6A60">
        <w:t>i.e.</w:t>
      </w:r>
      <w:proofErr w:type="gramEnd"/>
      <w:r w:rsidR="007D6A60">
        <w:t xml:space="preserve"> the times at which coverage gaps occur) would be the same for all UEs in the cell, however for the earth-moving case this would differ per UE as the coverage of the cell moves continuously across the earth. This implies potentially different mechanisms for coverage gap detection depending on whether the NTN uses earth-fixed or earth-moving cells. </w:t>
      </w:r>
    </w:p>
    <w:p w14:paraId="1842AE17" w14:textId="77777777" w:rsidR="007D6A60" w:rsidRDefault="007D6A60" w:rsidP="00C90EF9"/>
    <w:p w14:paraId="6E0170FD" w14:textId="783EBA41" w:rsidR="007D6A60" w:rsidRDefault="00D63C7A" w:rsidP="00C90EF9">
      <w:pPr>
        <w:rPr>
          <w:b/>
          <w:bCs/>
        </w:rPr>
      </w:pPr>
      <w:r w:rsidRPr="007D6A60">
        <w:rPr>
          <w:b/>
          <w:bCs/>
        </w:rPr>
        <w:t xml:space="preserve">Observation 1: </w:t>
      </w:r>
      <w:r w:rsidR="007D6A60" w:rsidRPr="007D6A60">
        <w:rPr>
          <w:b/>
          <w:bCs/>
        </w:rPr>
        <w:t>The discontinuous coverage prediction/detection mechanism may need to be different for earth moving and quasi-earth fixed cell.</w:t>
      </w:r>
    </w:p>
    <w:p w14:paraId="0E2D4B0F" w14:textId="4C8B668A" w:rsidR="007D6A60" w:rsidRDefault="007D6A60" w:rsidP="00C90EF9">
      <w:pPr>
        <w:rPr>
          <w:b/>
          <w:bCs/>
        </w:rPr>
      </w:pPr>
    </w:p>
    <w:p w14:paraId="1AE99EAB" w14:textId="33D3C233" w:rsidR="007D6A60" w:rsidRDefault="007D6A60" w:rsidP="00C90EF9">
      <w:r w:rsidRPr="00B265D7">
        <w:t xml:space="preserve">For </w:t>
      </w:r>
      <w:r>
        <w:t>the case of earth-fixed</w:t>
      </w:r>
      <w:r w:rsidR="00B265D7">
        <w:t xml:space="preserve"> cells, since the coverage situation would be common for all the UEs in a cell, it makes sense to have a cell specific configuration, which would be provided in broadcast signalling. As a baseline, we would assume that the stop time of the current cell, along with the start time of the neighbouring cell, would be sufficient for all UEs in that cell to </w:t>
      </w:r>
      <w:r w:rsidR="00804B17">
        <w:t>determine</w:t>
      </w:r>
      <w:r w:rsidR="00B265D7">
        <w:t xml:space="preserve"> when the coverage gap takes place.</w:t>
      </w:r>
    </w:p>
    <w:p w14:paraId="2C141E50" w14:textId="1ADBBEB4" w:rsidR="00B265D7" w:rsidRDefault="00B265D7" w:rsidP="00C90EF9"/>
    <w:p w14:paraId="7B2FB87C" w14:textId="54856A40" w:rsidR="00B265D7" w:rsidRPr="00B265D7" w:rsidRDefault="00B265D7" w:rsidP="00C90EF9">
      <w:pPr>
        <w:rPr>
          <w:b/>
          <w:bCs/>
        </w:rPr>
      </w:pPr>
      <w:r w:rsidRPr="00B265D7">
        <w:rPr>
          <w:b/>
          <w:bCs/>
        </w:rPr>
        <w:t>Proposal 1: Quasi-earth fixed cell</w:t>
      </w:r>
      <w:r w:rsidR="00804B17">
        <w:rPr>
          <w:b/>
          <w:bCs/>
        </w:rPr>
        <w:t>s</w:t>
      </w:r>
      <w:r w:rsidRPr="00B265D7">
        <w:rPr>
          <w:b/>
          <w:bCs/>
        </w:rPr>
        <w:t xml:space="preserve"> </w:t>
      </w:r>
      <w:r w:rsidR="009E0AD9">
        <w:rPr>
          <w:b/>
          <w:bCs/>
        </w:rPr>
        <w:t xml:space="preserve">provide </w:t>
      </w:r>
      <w:r w:rsidR="00804B17">
        <w:rPr>
          <w:b/>
          <w:bCs/>
        </w:rPr>
        <w:t xml:space="preserve">the </w:t>
      </w:r>
      <w:r w:rsidRPr="00B265D7">
        <w:rPr>
          <w:b/>
          <w:bCs/>
        </w:rPr>
        <w:t xml:space="preserve">stop time of </w:t>
      </w:r>
      <w:r w:rsidR="00804B17">
        <w:rPr>
          <w:b/>
          <w:bCs/>
        </w:rPr>
        <w:t xml:space="preserve">the </w:t>
      </w:r>
      <w:r w:rsidRPr="00B265D7">
        <w:rPr>
          <w:b/>
          <w:bCs/>
        </w:rPr>
        <w:t xml:space="preserve">current </w:t>
      </w:r>
      <w:r w:rsidR="00804B17">
        <w:rPr>
          <w:b/>
          <w:bCs/>
        </w:rPr>
        <w:t xml:space="preserve">cell </w:t>
      </w:r>
      <w:r w:rsidRPr="00B265D7">
        <w:rPr>
          <w:b/>
          <w:bCs/>
        </w:rPr>
        <w:t xml:space="preserve">and </w:t>
      </w:r>
      <w:r w:rsidR="00804B17">
        <w:rPr>
          <w:b/>
          <w:bCs/>
        </w:rPr>
        <w:t xml:space="preserve">the start time of the </w:t>
      </w:r>
      <w:r w:rsidRPr="00B265D7">
        <w:rPr>
          <w:b/>
          <w:bCs/>
        </w:rPr>
        <w:t>neighboring cell to inform UE</w:t>
      </w:r>
      <w:r w:rsidR="00804B17">
        <w:rPr>
          <w:b/>
          <w:bCs/>
        </w:rPr>
        <w:t>s</w:t>
      </w:r>
      <w:r w:rsidRPr="00B265D7">
        <w:rPr>
          <w:b/>
          <w:bCs/>
        </w:rPr>
        <w:t xml:space="preserve"> of </w:t>
      </w:r>
      <w:r w:rsidR="00804B17">
        <w:rPr>
          <w:b/>
          <w:bCs/>
        </w:rPr>
        <w:t xml:space="preserve">the </w:t>
      </w:r>
      <w:r w:rsidRPr="00B265D7">
        <w:rPr>
          <w:b/>
          <w:bCs/>
        </w:rPr>
        <w:t>start and duration of the next coverage gap.</w:t>
      </w:r>
    </w:p>
    <w:p w14:paraId="327C2A47" w14:textId="606EA76E" w:rsidR="00B265D7" w:rsidRDefault="00B265D7" w:rsidP="00C90EF9"/>
    <w:p w14:paraId="4FC2869D" w14:textId="755F5880" w:rsidR="009E0AD9" w:rsidRPr="00B265D7" w:rsidRDefault="009E0AD9" w:rsidP="009E0AD9">
      <w:pPr>
        <w:rPr>
          <w:b/>
          <w:bCs/>
        </w:rPr>
      </w:pPr>
      <w:r w:rsidRPr="00B265D7">
        <w:rPr>
          <w:b/>
          <w:bCs/>
        </w:rPr>
        <w:t xml:space="preserve">Proposal </w:t>
      </w:r>
      <w:r>
        <w:rPr>
          <w:b/>
          <w:bCs/>
        </w:rPr>
        <w:t>2</w:t>
      </w:r>
      <w:r w:rsidRPr="00B265D7">
        <w:rPr>
          <w:b/>
          <w:bCs/>
        </w:rPr>
        <w:t>: Quasi-earth fixed cell</w:t>
      </w:r>
      <w:r>
        <w:rPr>
          <w:b/>
          <w:bCs/>
        </w:rPr>
        <w:t>s</w:t>
      </w:r>
      <w:r w:rsidRPr="00B265D7">
        <w:rPr>
          <w:b/>
          <w:bCs/>
        </w:rPr>
        <w:t xml:space="preserve"> </w:t>
      </w:r>
      <w:r>
        <w:rPr>
          <w:b/>
          <w:bCs/>
        </w:rPr>
        <w:t>broadcast the cell start/</w:t>
      </w:r>
      <w:r w:rsidRPr="00B265D7">
        <w:rPr>
          <w:b/>
          <w:bCs/>
        </w:rPr>
        <w:t xml:space="preserve">stop time </w:t>
      </w:r>
      <w:r>
        <w:rPr>
          <w:b/>
          <w:bCs/>
        </w:rPr>
        <w:t>information in system information.</w:t>
      </w:r>
    </w:p>
    <w:p w14:paraId="159BEA0C" w14:textId="77777777" w:rsidR="009E0AD9" w:rsidRDefault="009E0AD9" w:rsidP="00C90EF9"/>
    <w:p w14:paraId="101A054D" w14:textId="74B31790" w:rsidR="00B265D7" w:rsidRDefault="00D63C7A" w:rsidP="00C90EF9">
      <w:r>
        <w:t xml:space="preserve">This approach may not be suitable for the earth-moving cell case, because each UE would need to be provided with UE-specific information, based on </w:t>
      </w:r>
      <w:proofErr w:type="gramStart"/>
      <w:r>
        <w:t>up to date</w:t>
      </w:r>
      <w:proofErr w:type="gramEnd"/>
      <w:r>
        <w:t xml:space="preserve"> location information, regarding the start/stop times of the current and </w:t>
      </w:r>
      <w:proofErr w:type="spellStart"/>
      <w:r>
        <w:t>neighouring</w:t>
      </w:r>
      <w:proofErr w:type="spellEnd"/>
      <w:r>
        <w:t xml:space="preserve"> cell. Especially for Idle mode, this implies an unreasonable amount of signalling overhead and power consumption. Therefore, for the earth-moving scenario, we would need to rely on the UE using location-based or measurement-based</w:t>
      </w:r>
      <w:r w:rsidR="00804B17">
        <w:t xml:space="preserve"> methods to detect discontinuous coverage.</w:t>
      </w:r>
    </w:p>
    <w:p w14:paraId="2C67006D" w14:textId="06882F37" w:rsidR="00804B17" w:rsidRDefault="00804B17" w:rsidP="00C90EF9"/>
    <w:p w14:paraId="31880DC0" w14:textId="6DC338B1" w:rsidR="00804B17" w:rsidRPr="00804B17" w:rsidRDefault="00804B17" w:rsidP="00C90EF9">
      <w:pPr>
        <w:rPr>
          <w:b/>
          <w:bCs/>
        </w:rPr>
      </w:pPr>
      <w:r w:rsidRPr="00804B17">
        <w:rPr>
          <w:b/>
          <w:bCs/>
        </w:rPr>
        <w:t xml:space="preserve">Proposal </w:t>
      </w:r>
      <w:r w:rsidR="009E0AD9">
        <w:rPr>
          <w:b/>
          <w:bCs/>
        </w:rPr>
        <w:t>3</w:t>
      </w:r>
      <w:r w:rsidRPr="00804B17">
        <w:rPr>
          <w:b/>
          <w:bCs/>
        </w:rPr>
        <w:t>: For earth moving cells, UE</w:t>
      </w:r>
      <w:r>
        <w:rPr>
          <w:b/>
          <w:bCs/>
        </w:rPr>
        <w:t>s</w:t>
      </w:r>
      <w:r w:rsidRPr="00804B17">
        <w:rPr>
          <w:b/>
          <w:bCs/>
        </w:rPr>
        <w:t xml:space="preserve"> </w:t>
      </w:r>
      <w:r>
        <w:rPr>
          <w:b/>
          <w:bCs/>
        </w:rPr>
        <w:t>use</w:t>
      </w:r>
      <w:r w:rsidRPr="00804B17">
        <w:rPr>
          <w:b/>
          <w:bCs/>
        </w:rPr>
        <w:t xml:space="preserve"> location-based or measurement-based techniques to detect discontinuous coverage.</w:t>
      </w:r>
    </w:p>
    <w:p w14:paraId="354774A9" w14:textId="5DCDEEB3" w:rsidR="00D63C7A" w:rsidRDefault="00D63C7A" w:rsidP="00C90EF9"/>
    <w:p w14:paraId="404B3081" w14:textId="7004914C" w:rsidR="00804B17" w:rsidRDefault="00804B17" w:rsidP="00C90EF9">
      <w:r>
        <w:t>Use of idle mode measurements alone (RSRP, RSRQ) may not be sufficient to reliably distinguish whether there is a coverage gap</w:t>
      </w:r>
      <w:r w:rsidR="009E0AD9">
        <w:t xml:space="preserve"> or whether the UE has entered poor coverage for another reason. Use of location estimation by the UE can assist in the prediction of when a coverage gap occurs, and therefore provides additional information to the UE such that it can more reliably determine whether </w:t>
      </w:r>
      <w:proofErr w:type="gramStart"/>
      <w:r w:rsidR="009E0AD9">
        <w:t>e.g.</w:t>
      </w:r>
      <w:proofErr w:type="gramEnd"/>
      <w:r w:rsidR="009E0AD9">
        <w:t xml:space="preserve"> a drop in RSRP or an RLF is due to a gap in satellite coverage. </w:t>
      </w:r>
      <w:proofErr w:type="gramStart"/>
      <w:r w:rsidR="009E0AD9">
        <w:t>Therefore</w:t>
      </w:r>
      <w:proofErr w:type="gramEnd"/>
      <w:r w:rsidR="009E0AD9">
        <w:t xml:space="preserve"> we propose that for the earth-moving case the network provides a </w:t>
      </w:r>
      <w:r w:rsidR="009E0AD9" w:rsidRPr="009E0AD9">
        <w:t xml:space="preserve">reference point location of </w:t>
      </w:r>
      <w:r w:rsidR="009E0AD9">
        <w:t xml:space="preserve">the </w:t>
      </w:r>
      <w:r w:rsidR="009E0AD9" w:rsidRPr="009E0AD9">
        <w:t xml:space="preserve">current and </w:t>
      </w:r>
      <w:r w:rsidR="009E0AD9">
        <w:t xml:space="preserve">upcoming </w:t>
      </w:r>
      <w:r w:rsidR="009E0AD9" w:rsidRPr="009E0AD9">
        <w:t xml:space="preserve">neighbor cell and satellite ephemeris data of current and upcoming </w:t>
      </w:r>
      <w:r w:rsidR="009E0AD9">
        <w:t xml:space="preserve">neighbour </w:t>
      </w:r>
      <w:r w:rsidR="009E0AD9" w:rsidRPr="009E0AD9">
        <w:t>cell.</w:t>
      </w:r>
    </w:p>
    <w:p w14:paraId="7A46F263" w14:textId="0ECDC1D2" w:rsidR="00AD68B6" w:rsidRDefault="00AD68B6" w:rsidP="00C90EF9"/>
    <w:p w14:paraId="0D65271B" w14:textId="1F14857A" w:rsidR="00AD68B6" w:rsidRPr="00804B17" w:rsidRDefault="00AD68B6" w:rsidP="00AD68B6">
      <w:pPr>
        <w:rPr>
          <w:b/>
          <w:bCs/>
        </w:rPr>
      </w:pPr>
      <w:r w:rsidRPr="00804B17">
        <w:rPr>
          <w:b/>
          <w:bCs/>
        </w:rPr>
        <w:t xml:space="preserve">Proposal </w:t>
      </w:r>
      <w:r>
        <w:rPr>
          <w:b/>
          <w:bCs/>
        </w:rPr>
        <w:t>4</w:t>
      </w:r>
      <w:r w:rsidRPr="00804B17">
        <w:rPr>
          <w:b/>
          <w:bCs/>
        </w:rPr>
        <w:t xml:space="preserve">: For earth moving cells, </w:t>
      </w:r>
      <w:r w:rsidRPr="00AD68B6">
        <w:rPr>
          <w:b/>
          <w:bCs/>
        </w:rPr>
        <w:t xml:space="preserve">network provides </w:t>
      </w:r>
      <w:r w:rsidR="00BE3050">
        <w:rPr>
          <w:b/>
          <w:bCs/>
        </w:rPr>
        <w:t>coverage gap information</w:t>
      </w:r>
      <w:r w:rsidR="00BE3050" w:rsidRPr="00AD68B6">
        <w:rPr>
          <w:b/>
          <w:bCs/>
        </w:rPr>
        <w:t xml:space="preserve"> </w:t>
      </w:r>
      <w:r w:rsidR="00400D56">
        <w:rPr>
          <w:b/>
          <w:bCs/>
        </w:rPr>
        <w:t xml:space="preserve">consisting of </w:t>
      </w:r>
      <w:r w:rsidRPr="00AD68B6">
        <w:rPr>
          <w:b/>
          <w:bCs/>
        </w:rPr>
        <w:t>a reference point location of the current and upcoming neighbor cell and satellite ephemeris data of current and upcoming neighbour cell.</w:t>
      </w:r>
    </w:p>
    <w:p w14:paraId="06914087" w14:textId="526C2930" w:rsidR="00AD68B6" w:rsidRDefault="00AD68B6" w:rsidP="00C90EF9"/>
    <w:p w14:paraId="1A74E9C3" w14:textId="421A171C" w:rsidR="00AD68B6" w:rsidRDefault="00AD68B6" w:rsidP="00C90EF9">
      <w:r>
        <w:t>As previously mentioned, providing up to date UE-specific information introduces too much overhead, therefore we propose that assistance information for coverage gap prediction by the UE is provided in system information.</w:t>
      </w:r>
    </w:p>
    <w:p w14:paraId="17490148" w14:textId="77777777" w:rsidR="00AD68B6" w:rsidRDefault="00AD68B6" w:rsidP="00AD68B6">
      <w:pPr>
        <w:rPr>
          <w:b/>
          <w:bCs/>
        </w:rPr>
      </w:pPr>
    </w:p>
    <w:p w14:paraId="746CB52E" w14:textId="15AA0E2F" w:rsidR="00AD68B6" w:rsidRPr="00B265D7" w:rsidRDefault="00AD68B6" w:rsidP="00AD68B6">
      <w:pPr>
        <w:rPr>
          <w:b/>
          <w:bCs/>
        </w:rPr>
      </w:pPr>
      <w:r w:rsidRPr="00B265D7">
        <w:rPr>
          <w:b/>
          <w:bCs/>
        </w:rPr>
        <w:t xml:space="preserve">Proposal </w:t>
      </w:r>
      <w:r>
        <w:rPr>
          <w:b/>
          <w:bCs/>
        </w:rPr>
        <w:t>5</w:t>
      </w:r>
      <w:r w:rsidRPr="00B265D7">
        <w:rPr>
          <w:b/>
          <w:bCs/>
        </w:rPr>
        <w:t xml:space="preserve">: </w:t>
      </w:r>
      <w:r>
        <w:rPr>
          <w:b/>
          <w:bCs/>
        </w:rPr>
        <w:t>E</w:t>
      </w:r>
      <w:r w:rsidRPr="00B265D7">
        <w:rPr>
          <w:b/>
          <w:bCs/>
        </w:rPr>
        <w:t xml:space="preserve">arth </w:t>
      </w:r>
      <w:r>
        <w:rPr>
          <w:b/>
          <w:bCs/>
        </w:rPr>
        <w:t xml:space="preserve">moving </w:t>
      </w:r>
      <w:r w:rsidRPr="00B265D7">
        <w:rPr>
          <w:b/>
          <w:bCs/>
        </w:rPr>
        <w:t>cell</w:t>
      </w:r>
      <w:r>
        <w:rPr>
          <w:b/>
          <w:bCs/>
        </w:rPr>
        <w:t>s</w:t>
      </w:r>
      <w:r w:rsidRPr="00B265D7">
        <w:rPr>
          <w:b/>
          <w:bCs/>
        </w:rPr>
        <w:t xml:space="preserve"> </w:t>
      </w:r>
      <w:r>
        <w:rPr>
          <w:b/>
          <w:bCs/>
        </w:rPr>
        <w:t>broadcast the coverage gap information in system information.</w:t>
      </w:r>
    </w:p>
    <w:p w14:paraId="2CDB3565" w14:textId="564B25A2" w:rsidR="007D6A60" w:rsidRDefault="007D6A60" w:rsidP="00C90EF9">
      <w:pPr>
        <w:rPr>
          <w:rFonts w:ascii="Arial" w:eastAsia="SimSun" w:hAnsi="Arial" w:cs="Arial"/>
          <w:sz w:val="32"/>
          <w:szCs w:val="32"/>
          <w:lang w:eastAsia="zh-CN"/>
        </w:rPr>
      </w:pPr>
    </w:p>
    <w:p w14:paraId="6776A431" w14:textId="77777777" w:rsidR="00DE6D5F" w:rsidRDefault="00DE6D5F">
      <w:pPr>
        <w:rPr>
          <w:rFonts w:cs="Arial"/>
          <w:b/>
          <w:bCs/>
          <w:iCs/>
          <w:sz w:val="28"/>
          <w:szCs w:val="28"/>
        </w:rPr>
      </w:pPr>
      <w:r>
        <w:br w:type="page"/>
      </w:r>
    </w:p>
    <w:p w14:paraId="52DFCC03" w14:textId="2075EFA1" w:rsidR="00AD68B6" w:rsidRDefault="00AD68B6" w:rsidP="00AD68B6">
      <w:pPr>
        <w:pStyle w:val="Heading2"/>
      </w:pPr>
      <w:r>
        <w:lastRenderedPageBreak/>
        <w:t>2.2</w:t>
      </w:r>
      <w:r>
        <w:tab/>
        <w:t>Coverage gap handling</w:t>
      </w:r>
    </w:p>
    <w:p w14:paraId="676F8349" w14:textId="3C0C8480" w:rsidR="00AD68B6" w:rsidRDefault="00AD68B6" w:rsidP="00AD68B6">
      <w:pPr>
        <w:pStyle w:val="Doc-text2"/>
        <w:ind w:left="0" w:firstLine="0"/>
      </w:pPr>
    </w:p>
    <w:p w14:paraId="1BEFA027" w14:textId="3E81BAFD" w:rsidR="00AD68B6" w:rsidRDefault="00AD68B6" w:rsidP="00AD68B6">
      <w:pPr>
        <w:pStyle w:val="Doc-text2"/>
        <w:ind w:left="0" w:firstLine="0"/>
      </w:pPr>
      <w:r>
        <w:t xml:space="preserve">For NB-IoT and </w:t>
      </w:r>
      <w:proofErr w:type="spellStart"/>
      <w:r>
        <w:t>eMTC</w:t>
      </w:r>
      <w:proofErr w:type="spellEnd"/>
      <w:r>
        <w:t xml:space="preserve">, coverage gap prediction in RRC_IDLE </w:t>
      </w:r>
      <w:r w:rsidR="00036777">
        <w:t xml:space="preserve">and RRC_INACTIVE </w:t>
      </w:r>
      <w:r>
        <w:t xml:space="preserve">may provide an opportunity to save power, for example because UEs may choose not to perform measurements of the serving cell or the neighbour cells during a coverage gap. </w:t>
      </w:r>
      <w:r w:rsidR="00780D2A">
        <w:t xml:space="preserve">The UE may avoid going to “any cell selection” state and start performing a scan of supported carriers/RATs during a coverage gap. Rather, the UE may choose to suspend measurements and reselection and rather “sleep” during the coverage gap </w:t>
      </w:r>
      <w:proofErr w:type="gramStart"/>
      <w:r w:rsidR="00780D2A">
        <w:t>in order to</w:t>
      </w:r>
      <w:proofErr w:type="gramEnd"/>
      <w:r w:rsidR="00780D2A">
        <w:t xml:space="preserve"> save precious battery life. </w:t>
      </w:r>
    </w:p>
    <w:p w14:paraId="5906F7DC" w14:textId="77777777" w:rsidR="00780D2A" w:rsidRDefault="00780D2A" w:rsidP="00AD68B6">
      <w:pPr>
        <w:pStyle w:val="Doc-text2"/>
        <w:ind w:left="0" w:firstLine="0"/>
      </w:pPr>
    </w:p>
    <w:p w14:paraId="0497B69C" w14:textId="28145364" w:rsidR="00780D2A" w:rsidRDefault="00780D2A" w:rsidP="00AD68B6">
      <w:pPr>
        <w:pStyle w:val="Doc-text2"/>
        <w:ind w:left="0" w:firstLine="0"/>
        <w:rPr>
          <w:b/>
          <w:bCs/>
        </w:rPr>
      </w:pPr>
      <w:r w:rsidRPr="00780D2A">
        <w:rPr>
          <w:b/>
          <w:bCs/>
        </w:rPr>
        <w:t xml:space="preserve">Proposal 6: If a UE </w:t>
      </w:r>
      <w:r w:rsidR="00036777">
        <w:rPr>
          <w:b/>
          <w:bCs/>
        </w:rPr>
        <w:t xml:space="preserve">in RRC_IDLE or RRC_INACTIVE </w:t>
      </w:r>
      <w:r w:rsidRPr="00780D2A">
        <w:rPr>
          <w:b/>
          <w:bCs/>
        </w:rPr>
        <w:t xml:space="preserve">determines it is in a coverage gap, the UE may choose not to perform measurements of the serving cell or neighbour </w:t>
      </w:r>
      <w:proofErr w:type="gramStart"/>
      <w:r w:rsidRPr="00780D2A">
        <w:rPr>
          <w:b/>
          <w:bCs/>
        </w:rPr>
        <w:t>cells, and</w:t>
      </w:r>
      <w:proofErr w:type="gramEnd"/>
      <w:r w:rsidRPr="00780D2A">
        <w:rPr>
          <w:b/>
          <w:bCs/>
        </w:rPr>
        <w:t xml:space="preserve"> may postpone moving to “any cell selection” state.</w:t>
      </w:r>
    </w:p>
    <w:p w14:paraId="728557FF" w14:textId="6E31E3AC" w:rsidR="00780D2A" w:rsidRPr="00780D2A" w:rsidRDefault="00780D2A" w:rsidP="00AD68B6">
      <w:pPr>
        <w:pStyle w:val="Doc-text2"/>
        <w:ind w:left="0" w:firstLine="0"/>
        <w:rPr>
          <w:rFonts w:ascii="Arial" w:eastAsia="SimSun" w:hAnsi="Arial" w:cs="Arial"/>
          <w:sz w:val="32"/>
          <w:szCs w:val="32"/>
          <w:lang w:eastAsia="zh-CN"/>
        </w:rPr>
      </w:pPr>
    </w:p>
    <w:p w14:paraId="3EFAB1C5" w14:textId="5DEB7336" w:rsidR="00BC3B93" w:rsidRDefault="00780D2A">
      <w:r>
        <w:t>The other main consideration in idle mode would of course be DRX/eDRX and paging monitoring. If the UE is configured with a relatively short DRX (</w:t>
      </w:r>
      <w:proofErr w:type="gramStart"/>
      <w:r>
        <w:t>i.e.</w:t>
      </w:r>
      <w:proofErr w:type="gramEnd"/>
      <w:r>
        <w:t xml:space="preserve"> not eDRX) then it is likely that the paging cycle is shorter than a coverage gap. In this case the UE should </w:t>
      </w:r>
      <w:r w:rsidR="00036777">
        <w:t xml:space="preserve">simply </w:t>
      </w:r>
      <w:r>
        <w:t xml:space="preserve">be allowed not to monitor the paging occasions that fall within the coverage gap - this would anyway be impossible and allowing the UE to save power by avoiding trying to synchronise to a cell during this time would be beneficial. </w:t>
      </w:r>
    </w:p>
    <w:p w14:paraId="21D38CA0" w14:textId="77777777" w:rsidR="00036777" w:rsidRDefault="00036777"/>
    <w:p w14:paraId="07A85E5F" w14:textId="0619F9AC" w:rsidR="00780D2A" w:rsidRDefault="00036777">
      <w:pPr>
        <w:rPr>
          <w:b/>
          <w:bCs/>
        </w:rPr>
      </w:pPr>
      <w:r w:rsidRPr="00036777">
        <w:rPr>
          <w:b/>
          <w:bCs/>
        </w:rPr>
        <w:t xml:space="preserve">Proposal 7: A UE </w:t>
      </w:r>
      <w:r>
        <w:rPr>
          <w:b/>
          <w:bCs/>
        </w:rPr>
        <w:t xml:space="preserve">in RRC_IDLE or RR_INACTIVE </w:t>
      </w:r>
      <w:r w:rsidRPr="00036777">
        <w:rPr>
          <w:b/>
          <w:bCs/>
        </w:rPr>
        <w:t xml:space="preserve">should be allowed not to </w:t>
      </w:r>
      <w:r>
        <w:rPr>
          <w:b/>
          <w:bCs/>
        </w:rPr>
        <w:t xml:space="preserve">attempt to </w:t>
      </w:r>
      <w:r w:rsidRPr="00036777">
        <w:rPr>
          <w:b/>
          <w:bCs/>
        </w:rPr>
        <w:t xml:space="preserve">monitor paging occasions </w:t>
      </w:r>
      <w:r>
        <w:rPr>
          <w:b/>
          <w:bCs/>
        </w:rPr>
        <w:t>which</w:t>
      </w:r>
      <w:r w:rsidRPr="00036777">
        <w:rPr>
          <w:b/>
          <w:bCs/>
        </w:rPr>
        <w:t xml:space="preserve"> occur during a coverage gap.</w:t>
      </w:r>
    </w:p>
    <w:p w14:paraId="6A6DBBAC" w14:textId="2CAFC32C" w:rsidR="00036777" w:rsidRDefault="00036777">
      <w:pPr>
        <w:rPr>
          <w:b/>
          <w:bCs/>
        </w:rPr>
      </w:pPr>
    </w:p>
    <w:p w14:paraId="6DDF3FAE" w14:textId="74C73BCB" w:rsidR="00036777" w:rsidRDefault="00036777">
      <w:r w:rsidRPr="00036777">
        <w:t>In case the UE is configured with a long DRX (</w:t>
      </w:r>
      <w:proofErr w:type="gramStart"/>
      <w:r w:rsidRPr="00036777">
        <w:t>i.e.</w:t>
      </w:r>
      <w:proofErr w:type="gramEnd"/>
      <w:r w:rsidRPr="00036777">
        <w:t xml:space="preserve"> eDRX)</w:t>
      </w:r>
      <w:r>
        <w:t xml:space="preserve"> then it may be the case that the UE is configured with a paging cycle which is longer than a coverage gap. In some cases, the PTW may fall within the coverage gap, and in extreme cases </w:t>
      </w:r>
      <w:proofErr w:type="gramStart"/>
      <w:r>
        <w:t>e.g.</w:t>
      </w:r>
      <w:proofErr w:type="gramEnd"/>
      <w:r>
        <w:t xml:space="preserve"> when there are many relatively long coverage gaps this may result in the UE being unreachable for long periods of time (i.e. much longer than the configured eDRX cycle due to missed PTWs). </w:t>
      </w:r>
      <w:r w:rsidR="00B556ED">
        <w:t>It may be possible by configuration to avoid this some of the time, however this may not be possible in all cases. We should consider whether the PTW should be updated for UEs which would have no usable PTW during an eDRX cycle – for example, if the PTW falls within a coverage gap, to monitor for paging before or after the coverage gap. The PTW could be extended or shifted to accommodate the gap in coverage so that the UE can still be paged in a reasonable amount of time.</w:t>
      </w:r>
    </w:p>
    <w:p w14:paraId="1F3C2FD4" w14:textId="63038F16" w:rsidR="00B556ED" w:rsidRDefault="00B556ED"/>
    <w:p w14:paraId="1A952C3E" w14:textId="6EA9F05D" w:rsidR="00B556ED" w:rsidRDefault="00B556ED">
      <w:pPr>
        <w:rPr>
          <w:b/>
          <w:bCs/>
        </w:rPr>
      </w:pPr>
      <w:r w:rsidRPr="00B556ED">
        <w:rPr>
          <w:b/>
          <w:bCs/>
        </w:rPr>
        <w:t>Proposal 8: RAN2 to discuss whether the PTW of a UE configured with eDRX should be adjusted if it falls within a coverage gap.</w:t>
      </w:r>
    </w:p>
    <w:p w14:paraId="08771880" w14:textId="5BF38B97" w:rsidR="00B556ED" w:rsidRDefault="00B556ED">
      <w:pPr>
        <w:rPr>
          <w:b/>
          <w:bCs/>
        </w:rPr>
      </w:pPr>
    </w:p>
    <w:p w14:paraId="293EF653" w14:textId="0997D87E" w:rsidR="00B556ED" w:rsidRDefault="00B556ED">
      <w:r w:rsidRPr="00B556ED">
        <w:t xml:space="preserve">For RRC_CONNECTED, </w:t>
      </w:r>
      <w:r>
        <w:t xml:space="preserve">a gap in coverage would obviously impact mobility. For </w:t>
      </w:r>
      <w:proofErr w:type="spellStart"/>
      <w:r>
        <w:t>eMTC</w:t>
      </w:r>
      <w:proofErr w:type="spellEnd"/>
      <w:r>
        <w:t xml:space="preserve">, the network may prefer to perform a handover from one cell to the new cell. However, </w:t>
      </w:r>
      <w:r w:rsidR="00D72A34">
        <w:t xml:space="preserve">assuming that the handover command could be provided before the current cell coverage ends, </w:t>
      </w:r>
      <w:r>
        <w:t>a gap in coverage would result in RLF on the target cell as the UE would not be able to synchronise</w:t>
      </w:r>
      <w:r w:rsidR="00D72A34">
        <w:t xml:space="preserve">. To support </w:t>
      </w:r>
      <w:proofErr w:type="gramStart"/>
      <w:r w:rsidR="00D72A34">
        <w:t>this</w:t>
      </w:r>
      <w:proofErr w:type="gramEnd"/>
      <w:r w:rsidR="00D72A34">
        <w:t xml:space="preserve"> we would suggest (similar to UMTS!) that for NTN the RRC Reconfiguration message could be enhanced to include an “activation time” to accommodate the coverage gap. If the UE receives an RRC Reconfiguration providing reconfiguration to a new cell and including an activation time, the UE should be allowed to not detect/declare RLF on the source cell, and delay the reconfiguration procedure until the activation time (</w:t>
      </w:r>
      <w:proofErr w:type="gramStart"/>
      <w:r w:rsidR="00D72A34">
        <w:t>i.e.</w:t>
      </w:r>
      <w:proofErr w:type="gramEnd"/>
      <w:r w:rsidR="00D72A34">
        <w:t xml:space="preserve"> coverage gap end time).</w:t>
      </w:r>
    </w:p>
    <w:p w14:paraId="21591CB0" w14:textId="72AE4747" w:rsidR="00D72A34" w:rsidRDefault="00D72A34"/>
    <w:p w14:paraId="22F1699A" w14:textId="4C689930" w:rsidR="00D72A34" w:rsidRPr="00D72A34" w:rsidRDefault="00D72A34">
      <w:pPr>
        <w:rPr>
          <w:b/>
          <w:bCs/>
        </w:rPr>
      </w:pPr>
      <w:r w:rsidRPr="00D72A34">
        <w:rPr>
          <w:b/>
          <w:bCs/>
        </w:rPr>
        <w:t xml:space="preserve">Proposal 9: </w:t>
      </w:r>
      <w:r>
        <w:rPr>
          <w:b/>
          <w:bCs/>
        </w:rPr>
        <w:t xml:space="preserve">For </w:t>
      </w:r>
      <w:proofErr w:type="spellStart"/>
      <w:r>
        <w:rPr>
          <w:b/>
          <w:bCs/>
        </w:rPr>
        <w:t>eMTC</w:t>
      </w:r>
      <w:proofErr w:type="spellEnd"/>
      <w:r>
        <w:rPr>
          <w:b/>
          <w:bCs/>
        </w:rPr>
        <w:t xml:space="preserve"> i</w:t>
      </w:r>
      <w:r w:rsidRPr="00D72A34">
        <w:rPr>
          <w:b/>
          <w:bCs/>
        </w:rPr>
        <w:t>ntroduce an activation time in RRC Reconfiguration to allow handover between cells occurring before and after a coverage gap.</w:t>
      </w:r>
    </w:p>
    <w:p w14:paraId="7E728524" w14:textId="0A6ABA08" w:rsidR="00D72A34" w:rsidRDefault="00D72A34"/>
    <w:p w14:paraId="3B6F7370" w14:textId="70D33495" w:rsidR="00D72A34" w:rsidRDefault="00D72A34">
      <w:r>
        <w:t>For NB-IoT, there is no support of connected mode mobility. As we know, mobility between cells relies on RLF and re-establishment to the new cell. In case of a coverage gap, the current procedure would cause the UE to start T310 upon detection of N310 out-of-sync indications from layer 1</w:t>
      </w:r>
      <w:r w:rsidR="00DE4862">
        <w:t xml:space="preserve">. Then, during T310 the UE would (unsuccessfully due to coverage gap) attempt to obtain in-sync with the current cell. Upon T310 expiry the UE would then attempt RRC re-establishment and (unsuccessfully due to coverage gap) attempt a cell selection. The UE would eventually declare RRC connection failure and enter idle mode, performing any cell selection until the coverage gap ends. Performing this frequently would result in unnecessarily </w:t>
      </w:r>
      <w:proofErr w:type="gramStart"/>
      <w:r w:rsidR="00DE4862">
        <w:t>high power</w:t>
      </w:r>
      <w:proofErr w:type="gramEnd"/>
      <w:r w:rsidR="00DE4862">
        <w:t xml:space="preserve"> consumption. It would also mean the UE is never able to re-establish on the new cell in the case that the coverage gap is longer than the maximum T310+T311 values because timers T310 and T311 would always expire. To avoid this, it should be allowed to suspend RLF and re-establishment for the duration of a coverage gap. </w:t>
      </w:r>
    </w:p>
    <w:p w14:paraId="719526B8" w14:textId="01FB64F2" w:rsidR="00DE4862" w:rsidRDefault="00DE4862"/>
    <w:p w14:paraId="245C5462" w14:textId="110AAFF1" w:rsidR="00DE4862" w:rsidRPr="00DE4862" w:rsidRDefault="00DE4862">
      <w:pPr>
        <w:rPr>
          <w:b/>
          <w:bCs/>
        </w:rPr>
      </w:pPr>
      <w:r w:rsidRPr="00DE4862">
        <w:rPr>
          <w:b/>
          <w:bCs/>
        </w:rPr>
        <w:t>Proposal 10: RLM, RLF detection, and RRC re-establishment are suspended during a coverage gap.</w:t>
      </w:r>
    </w:p>
    <w:p w14:paraId="1A25BEAF" w14:textId="77777777" w:rsidR="00036777" w:rsidRDefault="00036777">
      <w:pPr>
        <w:rPr>
          <w:rFonts w:ascii="Arial" w:eastAsia="SimSun" w:hAnsi="Arial" w:cs="Arial"/>
          <w:sz w:val="32"/>
          <w:szCs w:val="32"/>
          <w:lang w:eastAsia="zh-CN"/>
        </w:rPr>
      </w:pPr>
    </w:p>
    <w:p w14:paraId="73A555FC" w14:textId="0E5F2686" w:rsidR="000A5764" w:rsidRPr="00346012" w:rsidRDefault="000A5764" w:rsidP="00804B17">
      <w:pPr>
        <w:pStyle w:val="Heading1"/>
        <w:numPr>
          <w:ilvl w:val="0"/>
          <w:numId w:val="30"/>
        </w:numPr>
        <w:pBdr>
          <w:top w:val="single" w:sz="12" w:space="5" w:color="auto"/>
        </w:pBdr>
        <w:tabs>
          <w:tab w:val="clear" w:pos="720"/>
          <w:tab w:val="left" w:pos="426"/>
        </w:tabs>
        <w:spacing w:after="160" w:line="22" w:lineRule="atLeast"/>
        <w:ind w:hanging="720"/>
      </w:pPr>
      <w:r w:rsidRPr="008645A0">
        <w:rPr>
          <w:rFonts w:cs="Arial"/>
        </w:rPr>
        <w:lastRenderedPageBreak/>
        <w:t>Conclusion</w:t>
      </w:r>
    </w:p>
    <w:p w14:paraId="1359C1F8" w14:textId="623AF2B9" w:rsidR="00E37E78" w:rsidRDefault="003724E0" w:rsidP="00F169FC">
      <w:pPr>
        <w:jc w:val="both"/>
        <w:rPr>
          <w:lang w:eastAsia="zh-CN"/>
        </w:rPr>
      </w:pPr>
      <w:r>
        <w:rPr>
          <w:lang w:eastAsia="zh-CN"/>
        </w:rPr>
        <w:t>In this contribution we have discussed how to detect and handle coverage gaps in IoT-NTN and have the following observation and proposals:</w:t>
      </w:r>
    </w:p>
    <w:p w14:paraId="0A7E7C60" w14:textId="77777777" w:rsidR="003724E0" w:rsidRDefault="003724E0" w:rsidP="00F169FC">
      <w:pPr>
        <w:jc w:val="both"/>
        <w:rPr>
          <w:lang w:eastAsia="zh-CN"/>
        </w:rPr>
      </w:pPr>
    </w:p>
    <w:p w14:paraId="11C98299" w14:textId="77777777" w:rsidR="00DE4862" w:rsidRDefault="00DE4862" w:rsidP="00DE4862">
      <w:pPr>
        <w:rPr>
          <w:b/>
          <w:bCs/>
        </w:rPr>
      </w:pPr>
      <w:r w:rsidRPr="007D6A60">
        <w:rPr>
          <w:b/>
          <w:bCs/>
        </w:rPr>
        <w:t>Observation 1: The discontinuous coverage prediction/detection mechanism may need to be different for earth moving and quasi-earth fixed cell.</w:t>
      </w:r>
    </w:p>
    <w:p w14:paraId="7AA3EE3C" w14:textId="77777777" w:rsidR="00DE4862" w:rsidRDefault="00DE4862" w:rsidP="00DE4862">
      <w:pPr>
        <w:rPr>
          <w:b/>
          <w:bCs/>
        </w:rPr>
      </w:pPr>
    </w:p>
    <w:p w14:paraId="4C372E9E" w14:textId="77777777" w:rsidR="00DE4862" w:rsidRPr="00B265D7" w:rsidRDefault="00DE4862" w:rsidP="00DE4862">
      <w:pPr>
        <w:rPr>
          <w:b/>
          <w:bCs/>
        </w:rPr>
      </w:pPr>
      <w:r w:rsidRPr="00B265D7">
        <w:rPr>
          <w:b/>
          <w:bCs/>
        </w:rPr>
        <w:t>Proposal 1: Quasi-earth fixed cell</w:t>
      </w:r>
      <w:r>
        <w:rPr>
          <w:b/>
          <w:bCs/>
        </w:rPr>
        <w:t>s</w:t>
      </w:r>
      <w:r w:rsidRPr="00B265D7">
        <w:rPr>
          <w:b/>
          <w:bCs/>
        </w:rPr>
        <w:t xml:space="preserve"> </w:t>
      </w:r>
      <w:r>
        <w:rPr>
          <w:b/>
          <w:bCs/>
        </w:rPr>
        <w:t xml:space="preserve">provide the </w:t>
      </w:r>
      <w:r w:rsidRPr="00B265D7">
        <w:rPr>
          <w:b/>
          <w:bCs/>
        </w:rPr>
        <w:t xml:space="preserve">stop time of </w:t>
      </w:r>
      <w:r>
        <w:rPr>
          <w:b/>
          <w:bCs/>
        </w:rPr>
        <w:t xml:space="preserve">the </w:t>
      </w:r>
      <w:r w:rsidRPr="00B265D7">
        <w:rPr>
          <w:b/>
          <w:bCs/>
        </w:rPr>
        <w:t xml:space="preserve">current </w:t>
      </w:r>
      <w:r>
        <w:rPr>
          <w:b/>
          <w:bCs/>
        </w:rPr>
        <w:t xml:space="preserve">cell </w:t>
      </w:r>
      <w:r w:rsidRPr="00B265D7">
        <w:rPr>
          <w:b/>
          <w:bCs/>
        </w:rPr>
        <w:t xml:space="preserve">and </w:t>
      </w:r>
      <w:r>
        <w:rPr>
          <w:b/>
          <w:bCs/>
        </w:rPr>
        <w:t xml:space="preserve">the start time of the </w:t>
      </w:r>
      <w:r w:rsidRPr="00B265D7">
        <w:rPr>
          <w:b/>
          <w:bCs/>
        </w:rPr>
        <w:t>neighboring cell to inform UE</w:t>
      </w:r>
      <w:r>
        <w:rPr>
          <w:b/>
          <w:bCs/>
        </w:rPr>
        <w:t>s</w:t>
      </w:r>
      <w:r w:rsidRPr="00B265D7">
        <w:rPr>
          <w:b/>
          <w:bCs/>
        </w:rPr>
        <w:t xml:space="preserve"> of </w:t>
      </w:r>
      <w:r>
        <w:rPr>
          <w:b/>
          <w:bCs/>
        </w:rPr>
        <w:t xml:space="preserve">the </w:t>
      </w:r>
      <w:r w:rsidRPr="00B265D7">
        <w:rPr>
          <w:b/>
          <w:bCs/>
        </w:rPr>
        <w:t>start and duration of the next coverage gap.</w:t>
      </w:r>
    </w:p>
    <w:p w14:paraId="7C04410E" w14:textId="77777777" w:rsidR="00DE4862" w:rsidRDefault="00DE4862" w:rsidP="00DE4862"/>
    <w:p w14:paraId="4A40B83C" w14:textId="77777777" w:rsidR="00DE4862" w:rsidRPr="00B265D7" w:rsidRDefault="00DE4862" w:rsidP="00DE4862">
      <w:pPr>
        <w:rPr>
          <w:b/>
          <w:bCs/>
        </w:rPr>
      </w:pPr>
      <w:r w:rsidRPr="00B265D7">
        <w:rPr>
          <w:b/>
          <w:bCs/>
        </w:rPr>
        <w:t xml:space="preserve">Proposal </w:t>
      </w:r>
      <w:r>
        <w:rPr>
          <w:b/>
          <w:bCs/>
        </w:rPr>
        <w:t>2</w:t>
      </w:r>
      <w:r w:rsidRPr="00B265D7">
        <w:rPr>
          <w:b/>
          <w:bCs/>
        </w:rPr>
        <w:t>: Quasi-earth fixed cell</w:t>
      </w:r>
      <w:r>
        <w:rPr>
          <w:b/>
          <w:bCs/>
        </w:rPr>
        <w:t>s</w:t>
      </w:r>
      <w:r w:rsidRPr="00B265D7">
        <w:rPr>
          <w:b/>
          <w:bCs/>
        </w:rPr>
        <w:t xml:space="preserve"> </w:t>
      </w:r>
      <w:r>
        <w:rPr>
          <w:b/>
          <w:bCs/>
        </w:rPr>
        <w:t>broadcast the cell start/</w:t>
      </w:r>
      <w:r w:rsidRPr="00B265D7">
        <w:rPr>
          <w:b/>
          <w:bCs/>
        </w:rPr>
        <w:t xml:space="preserve">stop time </w:t>
      </w:r>
      <w:r>
        <w:rPr>
          <w:b/>
          <w:bCs/>
        </w:rPr>
        <w:t>information in system information.</w:t>
      </w:r>
    </w:p>
    <w:p w14:paraId="52DF2A35" w14:textId="77777777" w:rsidR="00DE4862" w:rsidRDefault="00DE4862" w:rsidP="00DE4862"/>
    <w:p w14:paraId="566316E8" w14:textId="77777777" w:rsidR="00DE4862" w:rsidRPr="00804B17" w:rsidRDefault="00DE4862" w:rsidP="00DE4862">
      <w:pPr>
        <w:rPr>
          <w:b/>
          <w:bCs/>
        </w:rPr>
      </w:pPr>
      <w:r w:rsidRPr="00804B17">
        <w:rPr>
          <w:b/>
          <w:bCs/>
        </w:rPr>
        <w:t xml:space="preserve">Proposal </w:t>
      </w:r>
      <w:r>
        <w:rPr>
          <w:b/>
          <w:bCs/>
        </w:rPr>
        <w:t>3</w:t>
      </w:r>
      <w:r w:rsidRPr="00804B17">
        <w:rPr>
          <w:b/>
          <w:bCs/>
        </w:rPr>
        <w:t>: For earth moving cells, UE</w:t>
      </w:r>
      <w:r>
        <w:rPr>
          <w:b/>
          <w:bCs/>
        </w:rPr>
        <w:t>s</w:t>
      </w:r>
      <w:r w:rsidRPr="00804B17">
        <w:rPr>
          <w:b/>
          <w:bCs/>
        </w:rPr>
        <w:t xml:space="preserve"> </w:t>
      </w:r>
      <w:r>
        <w:rPr>
          <w:b/>
          <w:bCs/>
        </w:rPr>
        <w:t>use</w:t>
      </w:r>
      <w:r w:rsidRPr="00804B17">
        <w:rPr>
          <w:b/>
          <w:bCs/>
        </w:rPr>
        <w:t xml:space="preserve"> location-based or measurement-based techniques to detect discontinuous coverage.</w:t>
      </w:r>
    </w:p>
    <w:p w14:paraId="032C47A3" w14:textId="77777777" w:rsidR="00DE4862" w:rsidRDefault="00DE4862" w:rsidP="00DE4862"/>
    <w:p w14:paraId="16C3CB14" w14:textId="1962BBCD" w:rsidR="00400D56" w:rsidRPr="00804B17" w:rsidRDefault="00400D56" w:rsidP="00400D56">
      <w:pPr>
        <w:rPr>
          <w:b/>
          <w:bCs/>
        </w:rPr>
      </w:pPr>
      <w:r w:rsidRPr="00804B17">
        <w:rPr>
          <w:b/>
          <w:bCs/>
        </w:rPr>
        <w:t xml:space="preserve">Proposal </w:t>
      </w:r>
      <w:r>
        <w:rPr>
          <w:b/>
          <w:bCs/>
        </w:rPr>
        <w:t>4</w:t>
      </w:r>
      <w:r w:rsidRPr="00804B17">
        <w:rPr>
          <w:b/>
          <w:bCs/>
        </w:rPr>
        <w:t xml:space="preserve">: For earth moving cells, </w:t>
      </w:r>
      <w:r w:rsidRPr="00AD68B6">
        <w:rPr>
          <w:b/>
          <w:bCs/>
        </w:rPr>
        <w:t xml:space="preserve">network provides </w:t>
      </w:r>
      <w:r>
        <w:rPr>
          <w:b/>
          <w:bCs/>
        </w:rPr>
        <w:t>coverage gap information</w:t>
      </w:r>
      <w:r w:rsidRPr="00AD68B6">
        <w:rPr>
          <w:b/>
          <w:bCs/>
        </w:rPr>
        <w:t xml:space="preserve"> </w:t>
      </w:r>
      <w:r>
        <w:rPr>
          <w:b/>
          <w:bCs/>
        </w:rPr>
        <w:t xml:space="preserve">consisting of </w:t>
      </w:r>
      <w:r w:rsidRPr="00AD68B6">
        <w:rPr>
          <w:b/>
          <w:bCs/>
        </w:rPr>
        <w:t xml:space="preserve">a reference point location of the current and upcoming </w:t>
      </w:r>
      <w:proofErr w:type="spellStart"/>
      <w:r w:rsidRPr="00AD68B6">
        <w:rPr>
          <w:b/>
          <w:bCs/>
        </w:rPr>
        <w:t>neighbor</w:t>
      </w:r>
      <w:proofErr w:type="spellEnd"/>
      <w:r w:rsidRPr="00AD68B6">
        <w:rPr>
          <w:b/>
          <w:bCs/>
        </w:rPr>
        <w:t xml:space="preserve"> cell and satellite ephemeris data of current and upcoming neighbour cell.</w:t>
      </w:r>
    </w:p>
    <w:p w14:paraId="54DEEDCD" w14:textId="77777777" w:rsidR="00DE4862" w:rsidRDefault="00DE4862" w:rsidP="00DE4862">
      <w:pPr>
        <w:rPr>
          <w:b/>
          <w:bCs/>
        </w:rPr>
      </w:pPr>
    </w:p>
    <w:p w14:paraId="0755ABEA" w14:textId="15D41DDC" w:rsidR="00DE4862" w:rsidRPr="00B265D7" w:rsidRDefault="00DE4862" w:rsidP="00DE4862">
      <w:pPr>
        <w:rPr>
          <w:b/>
          <w:bCs/>
        </w:rPr>
      </w:pPr>
      <w:r w:rsidRPr="00B265D7">
        <w:rPr>
          <w:b/>
          <w:bCs/>
        </w:rPr>
        <w:t xml:space="preserve">Proposal </w:t>
      </w:r>
      <w:r>
        <w:rPr>
          <w:b/>
          <w:bCs/>
        </w:rPr>
        <w:t>5</w:t>
      </w:r>
      <w:r w:rsidRPr="00B265D7">
        <w:rPr>
          <w:b/>
          <w:bCs/>
        </w:rPr>
        <w:t xml:space="preserve">: </w:t>
      </w:r>
      <w:r>
        <w:rPr>
          <w:b/>
          <w:bCs/>
        </w:rPr>
        <w:t>E</w:t>
      </w:r>
      <w:r w:rsidRPr="00B265D7">
        <w:rPr>
          <w:b/>
          <w:bCs/>
        </w:rPr>
        <w:t xml:space="preserve">arth </w:t>
      </w:r>
      <w:r>
        <w:rPr>
          <w:b/>
          <w:bCs/>
        </w:rPr>
        <w:t xml:space="preserve">moving </w:t>
      </w:r>
      <w:r w:rsidRPr="00B265D7">
        <w:rPr>
          <w:b/>
          <w:bCs/>
        </w:rPr>
        <w:t>cell</w:t>
      </w:r>
      <w:r>
        <w:rPr>
          <w:b/>
          <w:bCs/>
        </w:rPr>
        <w:t>s</w:t>
      </w:r>
      <w:r w:rsidRPr="00B265D7">
        <w:rPr>
          <w:b/>
          <w:bCs/>
        </w:rPr>
        <w:t xml:space="preserve"> </w:t>
      </w:r>
      <w:r>
        <w:rPr>
          <w:b/>
          <w:bCs/>
        </w:rPr>
        <w:t>broadcast the coverage gap information in system information.</w:t>
      </w:r>
    </w:p>
    <w:p w14:paraId="0352CF37" w14:textId="77777777" w:rsidR="00DE4862" w:rsidRDefault="00DE4862" w:rsidP="00DE4862">
      <w:pPr>
        <w:pStyle w:val="Doc-text2"/>
        <w:ind w:left="0" w:firstLine="0"/>
      </w:pPr>
    </w:p>
    <w:p w14:paraId="1AE41480" w14:textId="77777777" w:rsidR="00DE4862" w:rsidRDefault="00DE4862" w:rsidP="00DE4862">
      <w:pPr>
        <w:pStyle w:val="Doc-text2"/>
        <w:ind w:left="0" w:firstLine="0"/>
        <w:rPr>
          <w:b/>
          <w:bCs/>
        </w:rPr>
      </w:pPr>
      <w:r w:rsidRPr="00780D2A">
        <w:rPr>
          <w:b/>
          <w:bCs/>
        </w:rPr>
        <w:t xml:space="preserve">Proposal 6: If a UE </w:t>
      </w:r>
      <w:r>
        <w:rPr>
          <w:b/>
          <w:bCs/>
        </w:rPr>
        <w:t xml:space="preserve">in RRC_IDLE or RRC_INACTIVE </w:t>
      </w:r>
      <w:r w:rsidRPr="00780D2A">
        <w:rPr>
          <w:b/>
          <w:bCs/>
        </w:rPr>
        <w:t xml:space="preserve">determines it is in a coverage gap, the UE may choose not to perform measurements of the serving cell or neighbour </w:t>
      </w:r>
      <w:proofErr w:type="gramStart"/>
      <w:r w:rsidRPr="00780D2A">
        <w:rPr>
          <w:b/>
          <w:bCs/>
        </w:rPr>
        <w:t>cells, and</w:t>
      </w:r>
      <w:proofErr w:type="gramEnd"/>
      <w:r w:rsidRPr="00780D2A">
        <w:rPr>
          <w:b/>
          <w:bCs/>
        </w:rPr>
        <w:t xml:space="preserve"> may postpone moving to “any cell selection” state.</w:t>
      </w:r>
    </w:p>
    <w:p w14:paraId="668016FE" w14:textId="77777777" w:rsidR="00DE4862" w:rsidRDefault="00DE4862" w:rsidP="00DE4862"/>
    <w:p w14:paraId="5AFEF00E" w14:textId="77777777" w:rsidR="00DE4862" w:rsidRDefault="00DE4862" w:rsidP="00DE4862">
      <w:pPr>
        <w:rPr>
          <w:b/>
          <w:bCs/>
        </w:rPr>
      </w:pPr>
      <w:r w:rsidRPr="00036777">
        <w:rPr>
          <w:b/>
          <w:bCs/>
        </w:rPr>
        <w:t xml:space="preserve">Proposal 7: A UE </w:t>
      </w:r>
      <w:r>
        <w:rPr>
          <w:b/>
          <w:bCs/>
        </w:rPr>
        <w:t xml:space="preserve">in RRC_IDLE or RR_INACTIVE </w:t>
      </w:r>
      <w:r w:rsidRPr="00036777">
        <w:rPr>
          <w:b/>
          <w:bCs/>
        </w:rPr>
        <w:t xml:space="preserve">should be allowed not to </w:t>
      </w:r>
      <w:r>
        <w:rPr>
          <w:b/>
          <w:bCs/>
        </w:rPr>
        <w:t xml:space="preserve">attempt to </w:t>
      </w:r>
      <w:r w:rsidRPr="00036777">
        <w:rPr>
          <w:b/>
          <w:bCs/>
        </w:rPr>
        <w:t xml:space="preserve">monitor paging occasions </w:t>
      </w:r>
      <w:r>
        <w:rPr>
          <w:b/>
          <w:bCs/>
        </w:rPr>
        <w:t>which</w:t>
      </w:r>
      <w:r w:rsidRPr="00036777">
        <w:rPr>
          <w:b/>
          <w:bCs/>
        </w:rPr>
        <w:t xml:space="preserve"> occur during a coverage gap.</w:t>
      </w:r>
    </w:p>
    <w:p w14:paraId="4BFEA1A9" w14:textId="77777777" w:rsidR="00DE4862" w:rsidRDefault="00DE4862" w:rsidP="00DE4862"/>
    <w:p w14:paraId="028CB1F5" w14:textId="77777777" w:rsidR="00DE4862" w:rsidRDefault="00DE4862" w:rsidP="00DE4862">
      <w:pPr>
        <w:rPr>
          <w:b/>
          <w:bCs/>
        </w:rPr>
      </w:pPr>
      <w:r w:rsidRPr="00B556ED">
        <w:rPr>
          <w:b/>
          <w:bCs/>
        </w:rPr>
        <w:t>Proposal 8: RAN2 to discuss whether the PTW of a UE configured with eDRX should be adjusted if it falls within a coverage gap.</w:t>
      </w:r>
    </w:p>
    <w:p w14:paraId="3B13CAA9" w14:textId="77777777" w:rsidR="00DE4862" w:rsidRDefault="00DE4862" w:rsidP="00DE4862"/>
    <w:p w14:paraId="01528CFD" w14:textId="77777777" w:rsidR="00DE4862" w:rsidRPr="00D72A34" w:rsidRDefault="00DE4862" w:rsidP="00DE4862">
      <w:pPr>
        <w:rPr>
          <w:b/>
          <w:bCs/>
        </w:rPr>
      </w:pPr>
      <w:r w:rsidRPr="00D72A34">
        <w:rPr>
          <w:b/>
          <w:bCs/>
        </w:rPr>
        <w:t xml:space="preserve">Proposal 9: </w:t>
      </w:r>
      <w:r>
        <w:rPr>
          <w:b/>
          <w:bCs/>
        </w:rPr>
        <w:t xml:space="preserve">For </w:t>
      </w:r>
      <w:proofErr w:type="spellStart"/>
      <w:r>
        <w:rPr>
          <w:b/>
          <w:bCs/>
        </w:rPr>
        <w:t>eMTC</w:t>
      </w:r>
      <w:proofErr w:type="spellEnd"/>
      <w:r>
        <w:rPr>
          <w:b/>
          <w:bCs/>
        </w:rPr>
        <w:t xml:space="preserve"> i</w:t>
      </w:r>
      <w:r w:rsidRPr="00D72A34">
        <w:rPr>
          <w:b/>
          <w:bCs/>
        </w:rPr>
        <w:t>ntroduce an activation time in RRC Reconfiguration to allow handover between cells occurring before and after a coverage gap.</w:t>
      </w:r>
    </w:p>
    <w:p w14:paraId="56F78659" w14:textId="77777777" w:rsidR="00DE4862" w:rsidRDefault="00DE4862" w:rsidP="00DE4862"/>
    <w:p w14:paraId="4CBAF1E6" w14:textId="77777777" w:rsidR="00DE4862" w:rsidRPr="00DE4862" w:rsidRDefault="00DE4862" w:rsidP="00DE4862">
      <w:pPr>
        <w:rPr>
          <w:b/>
          <w:bCs/>
        </w:rPr>
      </w:pPr>
      <w:r w:rsidRPr="00DE4862">
        <w:rPr>
          <w:b/>
          <w:bCs/>
        </w:rPr>
        <w:t>Proposal 10: RLM, RLF detection, and RRC re-establishment are suspended during a coverage gap.</w:t>
      </w:r>
    </w:p>
    <w:p w14:paraId="48EB0316" w14:textId="0BC7FF7E" w:rsidR="00F169FC" w:rsidRPr="00DE4862" w:rsidRDefault="00F169FC" w:rsidP="00F169FC">
      <w:pPr>
        <w:jc w:val="both"/>
        <w:rPr>
          <w:lang w:eastAsia="zh-CN"/>
        </w:rPr>
      </w:pPr>
    </w:p>
    <w:p w14:paraId="5CF8A4B5" w14:textId="26882FAA" w:rsidR="00033C94" w:rsidRDefault="000A5764" w:rsidP="00804B17">
      <w:pPr>
        <w:pStyle w:val="Heading1"/>
        <w:numPr>
          <w:ilvl w:val="0"/>
          <w:numId w:val="30"/>
        </w:numPr>
        <w:pBdr>
          <w:top w:val="single" w:sz="12" w:space="5" w:color="auto"/>
        </w:pBdr>
        <w:tabs>
          <w:tab w:val="clear" w:pos="720"/>
          <w:tab w:val="left" w:pos="426"/>
        </w:tabs>
        <w:spacing w:after="160" w:line="22" w:lineRule="atLeast"/>
        <w:ind w:hanging="720"/>
        <w:rPr>
          <w:rFonts w:cs="Arial"/>
        </w:rPr>
      </w:pPr>
      <w:r w:rsidRPr="008645A0">
        <w:rPr>
          <w:rFonts w:cs="Arial"/>
        </w:rPr>
        <w:t>References</w:t>
      </w:r>
    </w:p>
    <w:p w14:paraId="16721A88" w14:textId="476D96F1" w:rsidR="00060066" w:rsidRDefault="00060066" w:rsidP="002E599D">
      <w:pPr>
        <w:pStyle w:val="Reference"/>
        <w:numPr>
          <w:ilvl w:val="0"/>
          <w:numId w:val="27"/>
        </w:numPr>
        <w:overflowPunct w:val="0"/>
        <w:autoSpaceDE w:val="0"/>
        <w:autoSpaceDN w:val="0"/>
        <w:adjustRightInd w:val="0"/>
        <w:jc w:val="both"/>
        <w:textAlignment w:val="baseline"/>
        <w:rPr>
          <w:rFonts w:eastAsia="Arial Unicode MS"/>
        </w:rPr>
      </w:pPr>
      <w:r w:rsidRPr="0020665C">
        <w:rPr>
          <w:rFonts w:eastAsia="Arial Unicode MS"/>
        </w:rPr>
        <w:t>Chairman’s Notes, 3GPP WG</w:t>
      </w:r>
      <w:r w:rsidR="002E599D">
        <w:rPr>
          <w:rFonts w:eastAsia="Arial Unicode MS"/>
        </w:rPr>
        <w:t>2</w:t>
      </w:r>
      <w:r w:rsidRPr="0020665C">
        <w:rPr>
          <w:rFonts w:eastAsia="Arial Unicode MS"/>
        </w:rPr>
        <w:t xml:space="preserve"> #1</w:t>
      </w:r>
      <w:r w:rsidR="002E599D">
        <w:rPr>
          <w:rFonts w:eastAsia="Arial Unicode MS"/>
        </w:rPr>
        <w:t>1</w:t>
      </w:r>
      <w:r>
        <w:rPr>
          <w:rFonts w:eastAsia="Arial Unicode MS"/>
        </w:rPr>
        <w:t>5</w:t>
      </w:r>
      <w:r w:rsidRPr="0020665C">
        <w:rPr>
          <w:rFonts w:eastAsia="Arial Unicode MS"/>
        </w:rPr>
        <w:t>-e</w:t>
      </w:r>
    </w:p>
    <w:p w14:paraId="445F0D43" w14:textId="327089BB" w:rsidR="004B4728" w:rsidRPr="001105A3" w:rsidRDefault="004B4728" w:rsidP="001105A3">
      <w:pPr>
        <w:pStyle w:val="Reference"/>
        <w:numPr>
          <w:ilvl w:val="0"/>
          <w:numId w:val="0"/>
        </w:numPr>
        <w:overflowPunct w:val="0"/>
        <w:autoSpaceDE w:val="0"/>
        <w:autoSpaceDN w:val="0"/>
        <w:adjustRightInd w:val="0"/>
        <w:ind w:left="567" w:hanging="567"/>
        <w:jc w:val="both"/>
        <w:textAlignment w:val="baseline"/>
      </w:pPr>
    </w:p>
    <w:sectPr w:rsidR="004B4728" w:rsidRPr="001105A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7AF0" w14:textId="77777777" w:rsidR="004B7099" w:rsidRDefault="004B7099">
      <w:r>
        <w:separator/>
      </w:r>
    </w:p>
  </w:endnote>
  <w:endnote w:type="continuationSeparator" w:id="0">
    <w:p w14:paraId="7201971D" w14:textId="77777777" w:rsidR="004B7099" w:rsidRDefault="004B7099">
      <w:r>
        <w:continuationSeparator/>
      </w:r>
    </w:p>
  </w:endnote>
  <w:endnote w:type="continuationNotice" w:id="1">
    <w:p w14:paraId="5844393E" w14:textId="77777777" w:rsidR="004B7099" w:rsidRDefault="004B7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77435" w14:textId="77777777" w:rsidR="004B7099" w:rsidRDefault="004B7099">
      <w:r>
        <w:separator/>
      </w:r>
    </w:p>
  </w:footnote>
  <w:footnote w:type="continuationSeparator" w:id="0">
    <w:p w14:paraId="01328C40" w14:textId="77777777" w:rsidR="004B7099" w:rsidRDefault="004B7099">
      <w:r>
        <w:continuationSeparator/>
      </w:r>
    </w:p>
  </w:footnote>
  <w:footnote w:type="continuationNotice" w:id="1">
    <w:p w14:paraId="7840B41E" w14:textId="77777777" w:rsidR="004B7099" w:rsidRDefault="004B70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531C08"/>
    <w:multiLevelType w:val="hybridMultilevel"/>
    <w:tmpl w:val="31F00CF6"/>
    <w:lvl w:ilvl="0" w:tplc="92FA087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4"/>
  </w:num>
  <w:num w:numId="4">
    <w:abstractNumId w:val="15"/>
  </w:num>
  <w:num w:numId="5">
    <w:abstractNumId w:val="10"/>
  </w:num>
  <w:num w:numId="6">
    <w:abstractNumId w:val="16"/>
  </w:num>
  <w:num w:numId="7">
    <w:abstractNumId w:val="25"/>
  </w:num>
  <w:num w:numId="8">
    <w:abstractNumId w:val="12"/>
  </w:num>
  <w:num w:numId="9">
    <w:abstractNumId w:val="29"/>
  </w:num>
  <w:num w:numId="10">
    <w:abstractNumId w:val="13"/>
    <w:lvlOverride w:ilvl="0">
      <w:startOverride w:val="1"/>
    </w:lvlOverride>
  </w:num>
  <w:num w:numId="11">
    <w:abstractNumId w:val="19"/>
  </w:num>
  <w:num w:numId="12">
    <w:abstractNumId w:val="11"/>
  </w:num>
  <w:num w:numId="13">
    <w:abstractNumId w:val="22"/>
  </w:num>
  <w:num w:numId="14">
    <w:abstractNumId w:val="17"/>
  </w:num>
  <w:num w:numId="15">
    <w:abstractNumId w:val="2"/>
  </w:num>
  <w:num w:numId="16">
    <w:abstractNumId w:val="3"/>
  </w:num>
  <w:num w:numId="17">
    <w:abstractNumId w:val="6"/>
  </w:num>
  <w:num w:numId="18">
    <w:abstractNumId w:val="9"/>
  </w:num>
  <w:num w:numId="19">
    <w:abstractNumId w:val="28"/>
  </w:num>
  <w:num w:numId="20">
    <w:abstractNumId w:val="8"/>
  </w:num>
  <w:num w:numId="21">
    <w:abstractNumId w:val="5"/>
  </w:num>
  <w:num w:numId="22">
    <w:abstractNumId w:val="23"/>
  </w:num>
  <w:num w:numId="23">
    <w:abstractNumId w:val="0"/>
  </w:num>
  <w:num w:numId="24">
    <w:abstractNumId w:val="24"/>
  </w:num>
  <w:num w:numId="25">
    <w:abstractNumId w:val="27"/>
  </w:num>
  <w:num w:numId="26">
    <w:abstractNumId w:val="26"/>
  </w:num>
  <w:num w:numId="27">
    <w:abstractNumId w:val="4"/>
  </w:num>
  <w:num w:numId="28">
    <w:abstractNumId w:val="18"/>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777"/>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066"/>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478A"/>
    <w:rsid w:val="000A5329"/>
    <w:rsid w:val="000A5679"/>
    <w:rsid w:val="000A56F2"/>
    <w:rsid w:val="000A5764"/>
    <w:rsid w:val="000A6F93"/>
    <w:rsid w:val="000A7DC3"/>
    <w:rsid w:val="000B0223"/>
    <w:rsid w:val="000B02A2"/>
    <w:rsid w:val="000B03E9"/>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AF8"/>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0"/>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0D56"/>
    <w:rsid w:val="00401B86"/>
    <w:rsid w:val="00402353"/>
    <w:rsid w:val="0040255D"/>
    <w:rsid w:val="004028A6"/>
    <w:rsid w:val="00402D6C"/>
    <w:rsid w:val="00402E2B"/>
    <w:rsid w:val="00403243"/>
    <w:rsid w:val="0040367B"/>
    <w:rsid w:val="00403745"/>
    <w:rsid w:val="00403C08"/>
    <w:rsid w:val="004040C0"/>
    <w:rsid w:val="00404D7B"/>
    <w:rsid w:val="0040512B"/>
    <w:rsid w:val="0040520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099"/>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3D97"/>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6A3"/>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7E4"/>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927"/>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305F"/>
    <w:rsid w:val="006D351A"/>
    <w:rsid w:val="006D44A2"/>
    <w:rsid w:val="006D4C5B"/>
    <w:rsid w:val="006D5CE4"/>
    <w:rsid w:val="006D5E5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0D2A"/>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D36"/>
    <w:rsid w:val="007A3E9A"/>
    <w:rsid w:val="007A43A6"/>
    <w:rsid w:val="007A4B72"/>
    <w:rsid w:val="007A4DB5"/>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A60"/>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4B17"/>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487"/>
    <w:rsid w:val="00830677"/>
    <w:rsid w:val="00830E87"/>
    <w:rsid w:val="0083207E"/>
    <w:rsid w:val="008326C1"/>
    <w:rsid w:val="008328DA"/>
    <w:rsid w:val="0083391C"/>
    <w:rsid w:val="00833938"/>
    <w:rsid w:val="00833C6C"/>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7F4"/>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BA"/>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6274"/>
    <w:rsid w:val="009A627F"/>
    <w:rsid w:val="009A645B"/>
    <w:rsid w:val="009A71C9"/>
    <w:rsid w:val="009A747D"/>
    <w:rsid w:val="009A753B"/>
    <w:rsid w:val="009A755E"/>
    <w:rsid w:val="009A783A"/>
    <w:rsid w:val="009B04A1"/>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AD9"/>
    <w:rsid w:val="009E0C0A"/>
    <w:rsid w:val="009E1C94"/>
    <w:rsid w:val="009E21DB"/>
    <w:rsid w:val="009E23F6"/>
    <w:rsid w:val="009E29C7"/>
    <w:rsid w:val="009E2B36"/>
    <w:rsid w:val="009E2B56"/>
    <w:rsid w:val="009E35DB"/>
    <w:rsid w:val="009E3889"/>
    <w:rsid w:val="009E3F28"/>
    <w:rsid w:val="009E4004"/>
    <w:rsid w:val="009E45DA"/>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68B6"/>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5D7"/>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0C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6ED"/>
    <w:rsid w:val="00B55F04"/>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3B93"/>
    <w:rsid w:val="00BC4A63"/>
    <w:rsid w:val="00BC4D2E"/>
    <w:rsid w:val="00BC4E54"/>
    <w:rsid w:val="00BC6729"/>
    <w:rsid w:val="00BC67E7"/>
    <w:rsid w:val="00BC74D1"/>
    <w:rsid w:val="00BC7E98"/>
    <w:rsid w:val="00BD0073"/>
    <w:rsid w:val="00BD23AF"/>
    <w:rsid w:val="00BD339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050"/>
    <w:rsid w:val="00BE333F"/>
    <w:rsid w:val="00BE35D4"/>
    <w:rsid w:val="00BE4265"/>
    <w:rsid w:val="00BE514C"/>
    <w:rsid w:val="00BE5440"/>
    <w:rsid w:val="00BE550C"/>
    <w:rsid w:val="00BE5CFC"/>
    <w:rsid w:val="00BE6040"/>
    <w:rsid w:val="00BE7406"/>
    <w:rsid w:val="00BE7478"/>
    <w:rsid w:val="00BE7603"/>
    <w:rsid w:val="00BE77BF"/>
    <w:rsid w:val="00BE78D7"/>
    <w:rsid w:val="00BF17FD"/>
    <w:rsid w:val="00BF192B"/>
    <w:rsid w:val="00BF1DDB"/>
    <w:rsid w:val="00BF1EDF"/>
    <w:rsid w:val="00BF3279"/>
    <w:rsid w:val="00BF3F37"/>
    <w:rsid w:val="00BF4BBF"/>
    <w:rsid w:val="00BF4F8F"/>
    <w:rsid w:val="00BF512B"/>
    <w:rsid w:val="00BF51F4"/>
    <w:rsid w:val="00BF6454"/>
    <w:rsid w:val="00BF657B"/>
    <w:rsid w:val="00BF6EEA"/>
    <w:rsid w:val="00BF6FD7"/>
    <w:rsid w:val="00BF74C7"/>
    <w:rsid w:val="00C00CCF"/>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0EF9"/>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E71"/>
    <w:rsid w:val="00D36F36"/>
    <w:rsid w:val="00D37053"/>
    <w:rsid w:val="00D3771F"/>
    <w:rsid w:val="00D37D87"/>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C7A"/>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2A34"/>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62"/>
    <w:rsid w:val="00DE48BD"/>
    <w:rsid w:val="00DE5176"/>
    <w:rsid w:val="00DE5608"/>
    <w:rsid w:val="00DE58D0"/>
    <w:rsid w:val="00DE5DE6"/>
    <w:rsid w:val="00DE602F"/>
    <w:rsid w:val="00DE654F"/>
    <w:rsid w:val="00DE6BFB"/>
    <w:rsid w:val="00DE6D5F"/>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584C"/>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E78"/>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373"/>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C03"/>
    <w:rsid w:val="00EF7E45"/>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9FC"/>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D5F"/>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DE6D5F"/>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DE6D5F"/>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DE6D5F"/>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DE6D5F"/>
    <w:pPr>
      <w:keepNext/>
      <w:outlineLvl w:val="3"/>
    </w:pPr>
    <w:rPr>
      <w:sz w:val="24"/>
      <w:szCs w:val="28"/>
    </w:rPr>
  </w:style>
  <w:style w:type="paragraph" w:styleId="Heading5">
    <w:name w:val="heading 5"/>
    <w:basedOn w:val="Heading4"/>
    <w:next w:val="Doc-title"/>
    <w:link w:val="Heading5Char"/>
    <w:qFormat/>
    <w:rsid w:val="00DE6D5F"/>
    <w:pPr>
      <w:outlineLvl w:val="4"/>
    </w:pPr>
    <w:rPr>
      <w:rFonts w:eastAsia="Times New Roman" w:cs="Times New Roman"/>
      <w:iCs/>
      <w:sz w:val="22"/>
      <w:szCs w:val="26"/>
    </w:rPr>
  </w:style>
  <w:style w:type="paragraph" w:styleId="Heading6">
    <w:name w:val="heading 6"/>
    <w:basedOn w:val="Normal"/>
    <w:next w:val="Doc-title"/>
    <w:link w:val="Heading6Char"/>
    <w:qFormat/>
    <w:rsid w:val="00DE6D5F"/>
    <w:pPr>
      <w:spacing w:before="240" w:after="60"/>
      <w:outlineLvl w:val="5"/>
    </w:pPr>
    <w:rPr>
      <w:b/>
      <w:bCs/>
      <w:sz w:val="22"/>
      <w:szCs w:val="22"/>
    </w:rPr>
  </w:style>
  <w:style w:type="paragraph" w:styleId="Heading7">
    <w:name w:val="heading 7"/>
    <w:basedOn w:val="Normal"/>
    <w:next w:val="Normal"/>
    <w:link w:val="Heading7Char"/>
    <w:unhideWhenUsed/>
    <w:qFormat/>
    <w:rsid w:val="00DE6D5F"/>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DE6D5F"/>
    <w:pPr>
      <w:keepNext/>
      <w:spacing w:before="240" w:after="60"/>
      <w:outlineLvl w:val="8"/>
    </w:pPr>
    <w:rPr>
      <w:rFonts w:cs="Arial"/>
      <w:b/>
      <w:szCs w:val="22"/>
    </w:rPr>
  </w:style>
  <w:style w:type="character" w:default="1" w:styleId="DefaultParagraphFont">
    <w:name w:val="Default Paragraph Font"/>
    <w:uiPriority w:val="1"/>
    <w:semiHidden/>
    <w:unhideWhenUsed/>
    <w:rsid w:val="00DE6D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6D5F"/>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DE6D5F"/>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DE6D5F"/>
    <w:pPr>
      <w:numPr>
        <w:numId w:val="25"/>
      </w:numPr>
    </w:pPr>
  </w:style>
  <w:style w:type="paragraph" w:styleId="TOC2">
    <w:name w:val="toc 2"/>
    <w:basedOn w:val="Normal"/>
    <w:next w:val="Normal"/>
    <w:autoRedefine/>
    <w:uiPriority w:val="39"/>
    <w:rsid w:val="00DE6D5F"/>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DE6D5F"/>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DE6D5F"/>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E6D5F"/>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DE6D5F"/>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DE6D5F"/>
    <w:pPr>
      <w:ind w:left="566" w:hanging="283"/>
      <w:contextualSpacing/>
    </w:pPr>
  </w:style>
  <w:style w:type="paragraph" w:styleId="List3">
    <w:name w:val="List 3"/>
    <w:basedOn w:val="Normal"/>
    <w:rsid w:val="00DE6D5F"/>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DE6D5F"/>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DE6D5F"/>
    <w:rPr>
      <w:rFonts w:ascii="Tahoma" w:hAnsi="Tahoma" w:cs="Tahoma"/>
      <w:sz w:val="16"/>
      <w:szCs w:val="16"/>
    </w:rPr>
  </w:style>
  <w:style w:type="character" w:styleId="PageNumber">
    <w:name w:val="page number"/>
    <w:basedOn w:val="DefaultParagraphFont"/>
    <w:rsid w:val="00DE6D5F"/>
  </w:style>
  <w:style w:type="paragraph" w:styleId="BodyText">
    <w:name w:val="Body Text"/>
    <w:basedOn w:val="Normal"/>
    <w:link w:val="BodyTextChar"/>
    <w:rsid w:val="00DE6D5F"/>
    <w:pPr>
      <w:spacing w:after="120"/>
    </w:pPr>
  </w:style>
  <w:style w:type="character" w:styleId="Hyperlink">
    <w:name w:val="Hyperlink"/>
    <w:uiPriority w:val="99"/>
    <w:rsid w:val="00DE6D5F"/>
    <w:rPr>
      <w:color w:val="0000FF"/>
      <w:u w:val="single"/>
    </w:rPr>
  </w:style>
  <w:style w:type="character" w:styleId="FollowedHyperlink">
    <w:name w:val="FollowedHyperlink"/>
    <w:rsid w:val="00DE6D5F"/>
    <w:rPr>
      <w:color w:val="800080"/>
      <w:u w:val="single"/>
    </w:rPr>
  </w:style>
  <w:style w:type="character" w:styleId="CommentReference">
    <w:name w:val="annotation reference"/>
    <w:semiHidden/>
    <w:rsid w:val="00DE6D5F"/>
    <w:rPr>
      <w:sz w:val="16"/>
      <w:szCs w:val="16"/>
    </w:rPr>
  </w:style>
  <w:style w:type="paragraph" w:styleId="CommentText">
    <w:name w:val="annotation text"/>
    <w:basedOn w:val="Normal"/>
    <w:link w:val="CommentTextChar"/>
    <w:semiHidden/>
    <w:rsid w:val="00DE6D5F"/>
  </w:style>
  <w:style w:type="paragraph" w:styleId="CommentSubject">
    <w:name w:val="annotation subject"/>
    <w:basedOn w:val="CommentText"/>
    <w:next w:val="CommentText"/>
    <w:link w:val="CommentSubjectChar"/>
    <w:semiHidden/>
    <w:rsid w:val="00DE6D5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E6D5F"/>
    <w:rPr>
      <w:rFonts w:ascii="Times New Roman" w:eastAsiaTheme="minorHAnsi" w:hAnsi="Times New Roman"/>
      <w:b/>
      <w:bCs/>
      <w:kern w:val="32"/>
      <w:sz w:val="32"/>
      <w:szCs w:val="32"/>
      <w:lang w:val="en-GB"/>
    </w:rPr>
  </w:style>
  <w:style w:type="paragraph" w:customStyle="1" w:styleId="TH">
    <w:name w:val="TH"/>
    <w:basedOn w:val="Normal"/>
    <w:link w:val="THChar"/>
    <w:rsid w:val="00DE6D5F"/>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DE6D5F"/>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DE6D5F"/>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DE6D5F"/>
    <w:pPr>
      <w:keepNext/>
      <w:keepLines/>
    </w:pPr>
    <w:rPr>
      <w:rFonts w:eastAsia="Malgun Gothic"/>
      <w:sz w:val="18"/>
      <w:lang w:val="x-none"/>
    </w:rPr>
  </w:style>
  <w:style w:type="character" w:customStyle="1" w:styleId="TALCar">
    <w:name w:val="TAL Car"/>
    <w:rsid w:val="00DE6D5F"/>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DE6D5F"/>
    <w:pPr>
      <w:spacing w:after="180"/>
      <w:ind w:left="568" w:hanging="284"/>
    </w:pPr>
    <w:rPr>
      <w:rFonts w:eastAsia="Malgun Gothic"/>
      <w:lang w:eastAsia="x-none"/>
    </w:rPr>
  </w:style>
  <w:style w:type="character" w:customStyle="1" w:styleId="B1Char1">
    <w:name w:val="B1 Char1"/>
    <w:link w:val="B1"/>
    <w:rsid w:val="00DE6D5F"/>
    <w:rPr>
      <w:rFonts w:ascii="Times New Roman" w:eastAsia="Malgun Gothic" w:hAnsi="Times New Roman"/>
      <w:lang w:val="en-GB" w:eastAsia="x-none"/>
    </w:rPr>
  </w:style>
  <w:style w:type="paragraph" w:customStyle="1" w:styleId="B2">
    <w:name w:val="B2"/>
    <w:basedOn w:val="List2"/>
    <w:link w:val="B2Char"/>
    <w:rsid w:val="00DE6D5F"/>
    <w:pPr>
      <w:spacing w:after="180"/>
      <w:ind w:left="851" w:hanging="284"/>
      <w:contextualSpacing w:val="0"/>
    </w:pPr>
    <w:rPr>
      <w:rFonts w:eastAsia="Malgun Gothic"/>
      <w:lang w:val="x-none"/>
    </w:rPr>
  </w:style>
  <w:style w:type="character" w:customStyle="1" w:styleId="B2Char">
    <w:name w:val="B2 Char"/>
    <w:link w:val="B2"/>
    <w:rsid w:val="00DE6D5F"/>
    <w:rPr>
      <w:rFonts w:ascii="Times New Roman" w:eastAsia="Malgun Gothic" w:hAnsi="Times New Roman"/>
      <w:lang w:val="x-none"/>
    </w:rPr>
  </w:style>
  <w:style w:type="paragraph" w:customStyle="1" w:styleId="B3">
    <w:name w:val="B3"/>
    <w:basedOn w:val="List3"/>
    <w:link w:val="B3Char2"/>
    <w:rsid w:val="00DE6D5F"/>
    <w:pPr>
      <w:spacing w:after="180"/>
      <w:ind w:left="1135" w:hanging="284"/>
      <w:contextualSpacing w:val="0"/>
    </w:pPr>
    <w:rPr>
      <w:rFonts w:eastAsia="Malgun Gothic"/>
      <w:lang w:val="x-none"/>
    </w:rPr>
  </w:style>
  <w:style w:type="character" w:customStyle="1" w:styleId="B3Char2">
    <w:name w:val="B3 Char2"/>
    <w:link w:val="B3"/>
    <w:rsid w:val="00DE6D5F"/>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DE6D5F"/>
    <w:rPr>
      <w:rFonts w:ascii="Times New Roman" w:eastAsia="Batang" w:hAnsi="Times New Roman"/>
      <w:b/>
      <w:color w:val="0000FF"/>
      <w:kern w:val="2"/>
      <w:lang w:val="x-none"/>
    </w:rPr>
  </w:style>
  <w:style w:type="character" w:styleId="Emphasis">
    <w:name w:val="Emphasis"/>
    <w:qFormat/>
    <w:rsid w:val="00DE6D5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DE6D5F"/>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DE6D5F"/>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6D5F"/>
    <w:pPr>
      <w:ind w:left="720"/>
    </w:pPr>
    <w:rPr>
      <w:rFonts w:ascii="Calibri" w:eastAsia="Calibri" w:hAnsi="Calibri"/>
      <w:sz w:val="22"/>
      <w:szCs w:val="22"/>
    </w:rPr>
  </w:style>
  <w:style w:type="table" w:styleId="TableGrid">
    <w:name w:val="Table Grid"/>
    <w:basedOn w:val="TableNormal"/>
    <w:rsid w:val="00DE6D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DE6D5F"/>
    <w:rPr>
      <w:i/>
      <w:noProof/>
      <w:sz w:val="18"/>
    </w:rPr>
  </w:style>
  <w:style w:type="character" w:customStyle="1" w:styleId="CommentsChar">
    <w:name w:val="Comments Char"/>
    <w:link w:val="Comments"/>
    <w:rsid w:val="00DE6D5F"/>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DE6D5F"/>
    <w:pPr>
      <w:tabs>
        <w:tab w:val="left" w:pos="1622"/>
      </w:tabs>
      <w:ind w:left="1622" w:hanging="363"/>
    </w:pPr>
  </w:style>
  <w:style w:type="character" w:customStyle="1" w:styleId="Doc-text2Char">
    <w:name w:val="Doc-text2 Char"/>
    <w:link w:val="Doc-text2"/>
    <w:rsid w:val="00DE6D5F"/>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ind w:left="0" w:firstLine="0"/>
      <w:outlineLvl w:val="9"/>
    </w:pPr>
    <w:rPr>
      <w:rFonts w:ascii="Calibri Light" w:eastAsia="Times New Roman" w:hAnsi="Calibri Light"/>
      <w:color w:val="2E74B5"/>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E6D5F"/>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DE6D5F"/>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DE6D5F"/>
    <w:pPr>
      <w:numPr>
        <w:numId w:val="19"/>
      </w:numPr>
      <w:spacing w:before="60"/>
    </w:pPr>
    <w:rPr>
      <w:b/>
    </w:rPr>
  </w:style>
  <w:style w:type="character" w:customStyle="1" w:styleId="B2Char1">
    <w:name w:val="B2 Char1"/>
    <w:rsid w:val="00DE6D5F"/>
    <w:rPr>
      <w:rFonts w:ascii="Times New Roman" w:eastAsia="Times New Roman" w:hAnsi="Times New Roman" w:cs="Times New Roman"/>
      <w:sz w:val="20"/>
      <w:szCs w:val="20"/>
      <w:lang w:val="en-GB" w:eastAsia="en-US" w:bidi="ar-SA"/>
    </w:rPr>
  </w:style>
  <w:style w:type="paragraph" w:customStyle="1" w:styleId="b30">
    <w:name w:val="b3"/>
    <w:basedOn w:val="Normal"/>
    <w:rsid w:val="00DE6D5F"/>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DE6D5F"/>
    <w:rPr>
      <w:rFonts w:ascii="Tahoma" w:eastAsiaTheme="minorHAnsi" w:hAnsi="Tahoma" w:cs="Tahoma"/>
      <w:sz w:val="16"/>
      <w:szCs w:val="16"/>
      <w:lang w:val="en-GB"/>
    </w:rPr>
  </w:style>
  <w:style w:type="paragraph" w:customStyle="1" w:styleId="SubHeading">
    <w:name w:val="SubHeading"/>
    <w:basedOn w:val="Normal"/>
    <w:next w:val="Normal"/>
    <w:link w:val="SubHeadingChar"/>
    <w:rsid w:val="00DE6D5F"/>
    <w:pPr>
      <w:spacing w:before="240" w:after="60"/>
      <w:outlineLvl w:val="8"/>
    </w:pPr>
    <w:rPr>
      <w:b/>
      <w:noProof/>
    </w:rPr>
  </w:style>
  <w:style w:type="character" w:customStyle="1" w:styleId="SubHeadingChar">
    <w:name w:val="SubHeading Char"/>
    <w:link w:val="SubHeading"/>
    <w:rsid w:val="00DE6D5F"/>
    <w:rPr>
      <w:rFonts w:ascii="Times New Roman" w:eastAsiaTheme="minorHAnsi" w:hAnsi="Times New Roman"/>
      <w:b/>
      <w:noProof/>
      <w:lang w:val="en-GB"/>
    </w:rPr>
  </w:style>
  <w:style w:type="paragraph" w:customStyle="1" w:styleId="BoldComments">
    <w:name w:val="Bold Comments"/>
    <w:basedOn w:val="SubHeading"/>
    <w:link w:val="BoldCommentsChar"/>
    <w:qFormat/>
    <w:rsid w:val="00DE6D5F"/>
    <w:rPr>
      <w:noProof w:val="0"/>
      <w:lang w:val="x-none" w:eastAsia="x-none"/>
    </w:rPr>
  </w:style>
  <w:style w:type="character" w:customStyle="1" w:styleId="BoldCommentsChar">
    <w:name w:val="Bold Comments Char"/>
    <w:link w:val="BoldComments"/>
    <w:rsid w:val="00DE6D5F"/>
    <w:rPr>
      <w:rFonts w:ascii="Times New Roman" w:eastAsiaTheme="minorHAnsi" w:hAnsi="Times New Roman"/>
      <w:b/>
      <w:lang w:val="x-none" w:eastAsia="x-none"/>
    </w:rPr>
  </w:style>
  <w:style w:type="paragraph" w:customStyle="1" w:styleId="CharChar1CharChar">
    <w:name w:val="Char Char1 Char Char"/>
    <w:semiHidden/>
    <w:rsid w:val="00DE6D5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DE6D5F"/>
    <w:rPr>
      <w:rFonts w:ascii="Arial" w:eastAsia="MS Mincho" w:hAnsi="Arial" w:cs="Arial"/>
      <w:bCs/>
      <w:sz w:val="24"/>
      <w:szCs w:val="28"/>
      <w:lang w:val="en-GB" w:eastAsia="en-GB" w:bidi="ar-SA"/>
    </w:rPr>
  </w:style>
  <w:style w:type="character" w:customStyle="1" w:styleId="CharChar6">
    <w:name w:val="Char Char6"/>
    <w:rsid w:val="00DE6D5F"/>
    <w:rPr>
      <w:rFonts w:ascii="Arial" w:eastAsia="MS Mincho" w:hAnsi="Arial" w:cs="Arial"/>
      <w:bCs/>
      <w:sz w:val="26"/>
      <w:szCs w:val="26"/>
      <w:lang w:val="en-GB" w:eastAsia="en-GB" w:bidi="ar-SA"/>
    </w:rPr>
  </w:style>
  <w:style w:type="character" w:customStyle="1" w:styleId="CharChar7">
    <w:name w:val="Char Char7"/>
    <w:rsid w:val="00DE6D5F"/>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DE6D5F"/>
    <w:pPr>
      <w:numPr>
        <w:numId w:val="20"/>
      </w:numPr>
      <w:tabs>
        <w:tab w:val="clear" w:pos="1622"/>
      </w:tabs>
    </w:pPr>
  </w:style>
  <w:style w:type="character" w:customStyle="1" w:styleId="ComeBackCharChar">
    <w:name w:val="ComeBack Char Char"/>
    <w:link w:val="ComeBack"/>
    <w:rsid w:val="00DE6D5F"/>
    <w:rPr>
      <w:rFonts w:ascii="Times New Roman" w:eastAsiaTheme="minorHAnsi" w:hAnsi="Times New Roman"/>
      <w:lang w:val="en-GB"/>
    </w:rPr>
  </w:style>
  <w:style w:type="character" w:customStyle="1" w:styleId="CommentTextChar">
    <w:name w:val="Comment Text Char"/>
    <w:basedOn w:val="DefaultParagraphFont"/>
    <w:link w:val="CommentText"/>
    <w:semiHidden/>
    <w:rsid w:val="00DE6D5F"/>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DE6D5F"/>
    <w:rPr>
      <w:rFonts w:ascii="Times New Roman" w:eastAsiaTheme="minorHAnsi" w:hAnsi="Times New Roman"/>
      <w:b/>
      <w:bCs/>
      <w:lang w:val="en-GB"/>
    </w:rPr>
  </w:style>
  <w:style w:type="paragraph" w:customStyle="1" w:styleId="Comments-red">
    <w:name w:val="Comments-red"/>
    <w:basedOn w:val="Comments"/>
    <w:qFormat/>
    <w:rsid w:val="00DE6D5F"/>
    <w:rPr>
      <w:noProof w:val="0"/>
      <w:color w:val="FF0000"/>
    </w:rPr>
  </w:style>
  <w:style w:type="paragraph" w:customStyle="1" w:styleId="Confirmation">
    <w:name w:val="Confirmation"/>
    <w:basedOn w:val="Normal"/>
    <w:qFormat/>
    <w:rsid w:val="00DE6D5F"/>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DE6D5F"/>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DE6D5F"/>
    <w:rPr>
      <w:rFonts w:ascii="Times New Roman" w:eastAsiaTheme="minorHAnsi" w:hAnsi="Times New Roman" w:cs="Arial"/>
      <w:b/>
      <w:sz w:val="24"/>
      <w:lang w:val="en-GB"/>
    </w:rPr>
  </w:style>
  <w:style w:type="paragraph" w:customStyle="1" w:styleId="Doc-comment">
    <w:name w:val="Doc-comment"/>
    <w:basedOn w:val="Normal"/>
    <w:next w:val="Doc-text2"/>
    <w:qFormat/>
    <w:rsid w:val="00DE6D5F"/>
    <w:pPr>
      <w:tabs>
        <w:tab w:val="left" w:pos="1622"/>
      </w:tabs>
      <w:ind w:left="1622" w:hanging="363"/>
    </w:pPr>
    <w:rPr>
      <w:i/>
    </w:rPr>
  </w:style>
  <w:style w:type="paragraph" w:customStyle="1" w:styleId="Doc-title">
    <w:name w:val="Doc-title"/>
    <w:basedOn w:val="Normal"/>
    <w:next w:val="Doc-text2"/>
    <w:link w:val="Doc-titleChar"/>
    <w:qFormat/>
    <w:rsid w:val="00DE6D5F"/>
    <w:pPr>
      <w:spacing w:before="60"/>
      <w:ind w:left="1259" w:hanging="1259"/>
    </w:pPr>
    <w:rPr>
      <w:noProof/>
    </w:rPr>
  </w:style>
  <w:style w:type="character" w:customStyle="1" w:styleId="Doc-titleChar">
    <w:name w:val="Doc-title Char"/>
    <w:link w:val="Doc-title"/>
    <w:rsid w:val="00DE6D5F"/>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DE6D5F"/>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DE6D5F"/>
    <w:pPr>
      <w:numPr>
        <w:numId w:val="22"/>
      </w:numPr>
    </w:pPr>
    <w:rPr>
      <w:b/>
    </w:rPr>
  </w:style>
  <w:style w:type="character" w:customStyle="1" w:styleId="EmailDiscussionChar">
    <w:name w:val="EmailDiscussion Char"/>
    <w:link w:val="EmailDiscussion"/>
    <w:rsid w:val="00DE6D5F"/>
    <w:rPr>
      <w:rFonts w:ascii="Times New Roman" w:eastAsiaTheme="minorHAnsi" w:hAnsi="Times New Roman"/>
      <w:b/>
      <w:lang w:val="en-GB"/>
    </w:rPr>
  </w:style>
  <w:style w:type="paragraph" w:customStyle="1" w:styleId="EmailDiscussion2">
    <w:name w:val="EmailDiscussion2"/>
    <w:basedOn w:val="Doc-text2"/>
    <w:qFormat/>
    <w:rsid w:val="00DE6D5F"/>
  </w:style>
  <w:style w:type="character" w:customStyle="1" w:styleId="emailstyle20">
    <w:name w:val="emailstyle20"/>
    <w:semiHidden/>
    <w:rsid w:val="00DE6D5F"/>
    <w:rPr>
      <w:rFonts w:ascii="Arial" w:hAnsi="Arial" w:cs="Arial" w:hint="default"/>
      <w:color w:val="auto"/>
      <w:sz w:val="20"/>
      <w:szCs w:val="20"/>
    </w:rPr>
  </w:style>
  <w:style w:type="character" w:customStyle="1" w:styleId="FooterChar">
    <w:name w:val="Footer Char"/>
    <w:link w:val="Footer"/>
    <w:uiPriority w:val="99"/>
    <w:rsid w:val="00DE6D5F"/>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E6D5F"/>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6D5F"/>
    <w:rPr>
      <w:rFonts w:ascii="Times New Roman" w:eastAsiaTheme="minorHAnsi" w:hAnsi="Times New Roman" w:cs="Arial"/>
      <w:bCs/>
      <w:sz w:val="24"/>
      <w:szCs w:val="28"/>
      <w:lang w:val="en-GB"/>
    </w:rPr>
  </w:style>
  <w:style w:type="character" w:customStyle="1" w:styleId="Heading5Char">
    <w:name w:val="Heading 5 Char"/>
    <w:link w:val="Heading5"/>
    <w:rsid w:val="00DE6D5F"/>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DE6D5F"/>
    <w:rPr>
      <w:rFonts w:ascii="Times New Roman" w:eastAsiaTheme="minorHAnsi" w:hAnsi="Times New Roman"/>
      <w:b/>
      <w:bCs/>
      <w:sz w:val="22"/>
      <w:szCs w:val="22"/>
      <w:lang w:val="en-GB"/>
    </w:rPr>
  </w:style>
  <w:style w:type="character" w:customStyle="1" w:styleId="Heading7Char">
    <w:name w:val="Heading 7 Char"/>
    <w:link w:val="Heading7"/>
    <w:rsid w:val="00DE6D5F"/>
    <w:rPr>
      <w:rFonts w:ascii="Calibri" w:eastAsia="PMingLiU" w:hAnsi="Calibri"/>
      <w:sz w:val="24"/>
      <w:lang w:val="en-GB"/>
    </w:rPr>
  </w:style>
  <w:style w:type="character" w:customStyle="1" w:styleId="Heading9Char">
    <w:name w:val="Heading 9 Char"/>
    <w:basedOn w:val="DefaultParagraphFont"/>
    <w:link w:val="Heading9"/>
    <w:rsid w:val="00DE6D5F"/>
    <w:rPr>
      <w:rFonts w:ascii="Times New Roman" w:eastAsiaTheme="minorHAnsi" w:hAnsi="Times New Roman" w:cs="Arial"/>
      <w:b/>
      <w:szCs w:val="22"/>
      <w:lang w:val="en-GB"/>
    </w:rPr>
  </w:style>
  <w:style w:type="paragraph" w:customStyle="1" w:styleId="Internal">
    <w:name w:val="Internal"/>
    <w:basedOn w:val="Comments"/>
    <w:link w:val="InternalChar"/>
    <w:rsid w:val="00DE6D5F"/>
    <w:rPr>
      <w:noProof w:val="0"/>
      <w:color w:val="333399"/>
    </w:rPr>
  </w:style>
  <w:style w:type="character" w:customStyle="1" w:styleId="InternalChar">
    <w:name w:val="Internal Char"/>
    <w:link w:val="Internal"/>
    <w:rsid w:val="00DE6D5F"/>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DE6D5F"/>
    <w:pPr>
      <w:tabs>
        <w:tab w:val="left" w:pos="1259"/>
        <w:tab w:val="left" w:pos="1622"/>
      </w:tabs>
      <w:ind w:left="1627" w:hanging="697"/>
    </w:pPr>
  </w:style>
  <w:style w:type="paragraph" w:customStyle="1" w:styleId="MiniHeading">
    <w:name w:val="MiniHeading"/>
    <w:basedOn w:val="Comments"/>
    <w:qFormat/>
    <w:rsid w:val="00DE6D5F"/>
    <w:pPr>
      <w:spacing w:before="180"/>
    </w:pPr>
    <w:rPr>
      <w:u w:val="single"/>
      <w:lang w:val="en-US"/>
    </w:rPr>
  </w:style>
  <w:style w:type="character" w:styleId="PlaceholderText">
    <w:name w:val="Placeholder Text"/>
    <w:uiPriority w:val="99"/>
    <w:semiHidden/>
    <w:rsid w:val="00DE6D5F"/>
    <w:rPr>
      <w:color w:val="808080"/>
    </w:rPr>
  </w:style>
  <w:style w:type="paragraph" w:styleId="PlainText">
    <w:name w:val="Plain Text"/>
    <w:basedOn w:val="Normal"/>
    <w:link w:val="PlainTextChar"/>
    <w:uiPriority w:val="99"/>
    <w:unhideWhenUsed/>
    <w:rsid w:val="00DE6D5F"/>
    <w:rPr>
      <w:rFonts w:ascii="Consolas" w:eastAsia="Calibri" w:hAnsi="Consolas"/>
      <w:sz w:val="21"/>
      <w:szCs w:val="21"/>
      <w:lang w:val="x-none"/>
    </w:rPr>
  </w:style>
  <w:style w:type="character" w:customStyle="1" w:styleId="PlainTextChar">
    <w:name w:val="Plain Text Char"/>
    <w:link w:val="PlainText"/>
    <w:uiPriority w:val="99"/>
    <w:rsid w:val="00DE6D5F"/>
    <w:rPr>
      <w:rFonts w:ascii="Consolas" w:eastAsia="Calibri" w:hAnsi="Consolas"/>
      <w:sz w:val="21"/>
      <w:szCs w:val="21"/>
      <w:lang w:val="x-none"/>
    </w:rPr>
  </w:style>
  <w:style w:type="paragraph" w:customStyle="1" w:styleId="Review-comment">
    <w:name w:val="Review-comment"/>
    <w:basedOn w:val="Normal"/>
    <w:qFormat/>
    <w:rsid w:val="00DE6D5F"/>
    <w:pPr>
      <w:tabs>
        <w:tab w:val="left" w:pos="1622"/>
      </w:tabs>
      <w:ind w:left="1622" w:hanging="363"/>
    </w:pPr>
    <w:rPr>
      <w:color w:val="C00000"/>
      <w:sz w:val="18"/>
    </w:rPr>
  </w:style>
  <w:style w:type="paragraph" w:customStyle="1" w:styleId="Review-comment2">
    <w:name w:val="Review-comment2"/>
    <w:basedOn w:val="Review-comment"/>
    <w:qFormat/>
    <w:rsid w:val="00DE6D5F"/>
    <w:rPr>
      <w:color w:val="0C6E15"/>
    </w:rPr>
  </w:style>
  <w:style w:type="paragraph" w:customStyle="1" w:styleId="Review-comment3">
    <w:name w:val="Review-comment3"/>
    <w:basedOn w:val="Normal"/>
    <w:qFormat/>
    <w:rsid w:val="00DE6D5F"/>
    <w:pPr>
      <w:tabs>
        <w:tab w:val="left" w:pos="1622"/>
      </w:tabs>
      <w:ind w:left="1622" w:hanging="363"/>
    </w:pPr>
    <w:rPr>
      <w:color w:val="2E74B5"/>
      <w:sz w:val="18"/>
    </w:rPr>
  </w:style>
  <w:style w:type="paragraph" w:customStyle="1" w:styleId="Style1">
    <w:name w:val="Style1"/>
    <w:basedOn w:val="Heading4"/>
    <w:rsid w:val="00DE6D5F"/>
    <w:rPr>
      <w:b/>
      <w:sz w:val="22"/>
    </w:rPr>
  </w:style>
  <w:style w:type="paragraph" w:customStyle="1" w:styleId="Style2">
    <w:name w:val="Style2"/>
    <w:basedOn w:val="EmailDiscussion"/>
    <w:link w:val="Style2Char"/>
    <w:qFormat/>
    <w:rsid w:val="00DE6D5F"/>
  </w:style>
  <w:style w:type="character" w:customStyle="1" w:styleId="Style2Char">
    <w:name w:val="Style2 Char"/>
    <w:basedOn w:val="EmailDiscussionChar"/>
    <w:link w:val="Style2"/>
    <w:rsid w:val="00DE6D5F"/>
    <w:rPr>
      <w:rFonts w:ascii="Times New Roman" w:eastAsiaTheme="minorHAnsi" w:hAnsi="Times New Roman"/>
      <w:b/>
      <w:lang w:val="en-GB"/>
    </w:rPr>
  </w:style>
  <w:style w:type="paragraph" w:styleId="TableofFigures">
    <w:name w:val="table of figures"/>
    <w:basedOn w:val="Normal"/>
    <w:next w:val="Normal"/>
    <w:uiPriority w:val="99"/>
    <w:rsid w:val="00DE6D5F"/>
    <w:pPr>
      <w:tabs>
        <w:tab w:val="left" w:pos="811"/>
      </w:tabs>
      <w:spacing w:before="60"/>
      <w:ind w:left="811" w:hanging="811"/>
    </w:pPr>
  </w:style>
  <w:style w:type="character" w:customStyle="1" w:styleId="TALChar">
    <w:name w:val="TAL Char"/>
    <w:link w:val="TAL"/>
    <w:rsid w:val="00DE6D5F"/>
    <w:rPr>
      <w:rFonts w:ascii="Times New Roman" w:eastAsia="Malgun Gothic" w:hAnsi="Times New Roman"/>
      <w:sz w:val="18"/>
      <w:lang w:val="x-none"/>
    </w:rPr>
  </w:style>
  <w:style w:type="paragraph" w:customStyle="1" w:styleId="a">
    <w:name w:val="바탕글"/>
    <w:basedOn w:val="Normal"/>
    <w:rsid w:val="00DE6D5F"/>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9511375">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75167562">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1866</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2021-08-06T20:35:00Z</dcterms:created>
  <dcterms:modified xsi:type="dcterms:W3CDTF">2021-10-21T21:33:00Z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